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A1" w:rsidRPr="0080270B" w:rsidRDefault="004C4AA1" w:rsidP="00543F35">
      <w:pPr>
        <w:pStyle w:val="Bodytext20"/>
        <w:shd w:val="clear" w:color="auto" w:fill="auto"/>
        <w:spacing w:before="120" w:after="120" w:line="240" w:lineRule="auto"/>
        <w:ind w:right="140"/>
        <w:rPr>
          <w:rStyle w:val="Bodytext2SmallCaps"/>
          <w:rFonts w:eastAsia="Courier New"/>
          <w:b/>
          <w:bCs/>
          <w:lang w:val="ru-RU" w:eastAsia="en-US" w:bidi="ar-SA"/>
        </w:rPr>
      </w:pPr>
      <w:r w:rsidRPr="00F172D2">
        <w:rPr>
          <w:rStyle w:val="Bodytext2SmallCaps"/>
          <w:rFonts w:ascii="Times New Roman" w:eastAsia="Courier New" w:hAnsi="Times New Roman" w:cs="Times New Roman"/>
          <w:bCs/>
          <w:color w:val="auto"/>
          <w:sz w:val="24"/>
          <w:szCs w:val="24"/>
          <w:lang w:val="bg-BG"/>
        </w:rPr>
        <w:t>Почитаемият Лорд Томас от Камгейд,</w:t>
      </w:r>
    </w:p>
    <w:p w:rsidR="004C4AA1" w:rsidRPr="0080270B" w:rsidRDefault="004C4AA1" w:rsidP="00543F35">
      <w:pPr>
        <w:pStyle w:val="Bodytext20"/>
        <w:shd w:val="clear" w:color="auto" w:fill="auto"/>
        <w:spacing w:before="120" w:after="120" w:line="240" w:lineRule="auto"/>
        <w:ind w:right="140"/>
        <w:rPr>
          <w:rFonts w:ascii="Times New Roman" w:hAnsi="Times New Roman" w:cs="Times New Roman"/>
          <w:color w:val="auto"/>
          <w:sz w:val="24"/>
          <w:szCs w:val="24"/>
          <w:lang w:val="ru-RU"/>
        </w:rPr>
      </w:pPr>
      <w:r>
        <w:rPr>
          <w:rStyle w:val="Bodytext2SmallCaps"/>
          <w:rFonts w:ascii="Times New Roman" w:eastAsia="Courier New" w:hAnsi="Times New Roman" w:cs="Times New Roman"/>
          <w:bCs/>
          <w:color w:val="auto"/>
          <w:sz w:val="24"/>
          <w:szCs w:val="24"/>
          <w:lang w:val="bg-BG"/>
        </w:rPr>
        <w:t>Лорд Г</w:t>
      </w:r>
      <w:r w:rsidRPr="00F172D2">
        <w:rPr>
          <w:rStyle w:val="Bodytext2SmallCaps"/>
          <w:rFonts w:ascii="Times New Roman" w:eastAsia="Courier New" w:hAnsi="Times New Roman" w:cs="Times New Roman"/>
          <w:bCs/>
          <w:color w:val="auto"/>
          <w:sz w:val="24"/>
          <w:szCs w:val="24"/>
          <w:lang w:val="bg-BG"/>
        </w:rPr>
        <w:t>лавен съдия на Англия и Уелс</w:t>
      </w:r>
    </w:p>
    <w:p w:rsidR="004C4AA1" w:rsidRPr="0080270B" w:rsidRDefault="004C4AA1" w:rsidP="00543F35">
      <w:pPr>
        <w:pStyle w:val="Bodytext20"/>
        <w:shd w:val="clear" w:color="auto" w:fill="auto"/>
        <w:spacing w:before="120" w:after="120" w:line="240" w:lineRule="auto"/>
        <w:ind w:right="140"/>
        <w:rPr>
          <w:rStyle w:val="Bodytext212pt"/>
          <w:rFonts w:eastAsia="Courier New"/>
          <w:lang w:val="ru-RU"/>
        </w:rPr>
      </w:pPr>
    </w:p>
    <w:p w:rsidR="004C4AA1" w:rsidRPr="0080270B" w:rsidRDefault="004C4AA1" w:rsidP="00543F35">
      <w:pPr>
        <w:pStyle w:val="Bodytext20"/>
        <w:shd w:val="clear" w:color="auto" w:fill="auto"/>
        <w:spacing w:before="120" w:after="120" w:line="240" w:lineRule="auto"/>
        <w:ind w:right="140"/>
        <w:rPr>
          <w:rFonts w:ascii="Times New Roman" w:hAnsi="Times New Roman" w:cs="Times New Roman"/>
          <w:b w:val="0"/>
          <w:color w:val="auto"/>
          <w:sz w:val="24"/>
          <w:szCs w:val="24"/>
          <w:lang w:val="ru-RU"/>
        </w:rPr>
      </w:pPr>
      <w:r w:rsidRPr="00F172D2">
        <w:rPr>
          <w:rStyle w:val="Bodytext212pt"/>
          <w:rFonts w:ascii="Times New Roman" w:eastAsia="Courier New" w:hAnsi="Times New Roman" w:cs="Times New Roman"/>
          <w:b/>
          <w:bCs/>
          <w:color w:val="auto"/>
          <w:lang w:val="bg-BG"/>
        </w:rPr>
        <w:t>Наследството на Магна Харта</w:t>
      </w:r>
      <w:r w:rsidRPr="0080270B">
        <w:rPr>
          <w:rStyle w:val="Bodytext212pt"/>
          <w:rFonts w:ascii="Times New Roman" w:eastAsia="Courier New" w:hAnsi="Times New Roman" w:cs="Times New Roman"/>
          <w:b/>
          <w:bCs/>
          <w:color w:val="auto"/>
          <w:lang w:val="ru-RU"/>
        </w:rPr>
        <w:t xml:space="preserve">: </w:t>
      </w:r>
      <w:r w:rsidRPr="00F172D2">
        <w:rPr>
          <w:rStyle w:val="Bodytext212pt"/>
          <w:rFonts w:ascii="Times New Roman" w:eastAsia="Courier New" w:hAnsi="Times New Roman" w:cs="Times New Roman"/>
          <w:b/>
          <w:bCs/>
          <w:color w:val="auto"/>
          <w:lang w:val="bg-BG"/>
        </w:rPr>
        <w:t>правосъдие през 21-ви век</w:t>
      </w:r>
    </w:p>
    <w:p w:rsidR="004C4AA1" w:rsidRPr="0080270B" w:rsidRDefault="004C4AA1" w:rsidP="00543F35">
      <w:pPr>
        <w:pStyle w:val="Bodytext20"/>
        <w:shd w:val="clear" w:color="auto" w:fill="auto"/>
        <w:spacing w:before="120" w:after="120" w:line="240" w:lineRule="auto"/>
        <w:ind w:right="140"/>
        <w:rPr>
          <w:rStyle w:val="Bodytext2SmallCaps"/>
          <w:rFonts w:eastAsia="Courier New"/>
          <w:lang w:val="ru-RU"/>
        </w:rPr>
      </w:pPr>
    </w:p>
    <w:p w:rsidR="004C4AA1" w:rsidRPr="0080270B" w:rsidRDefault="004C4AA1" w:rsidP="00543F35">
      <w:pPr>
        <w:pStyle w:val="Bodytext20"/>
        <w:shd w:val="clear" w:color="auto" w:fill="auto"/>
        <w:spacing w:before="120" w:after="120" w:line="240" w:lineRule="auto"/>
        <w:ind w:right="140"/>
        <w:rPr>
          <w:rStyle w:val="Bodytext2SmallCaps"/>
          <w:rFonts w:eastAsia="Courier New"/>
          <w:lang w:val="ru-RU"/>
        </w:rPr>
      </w:pPr>
      <w:r w:rsidRPr="00F172D2">
        <w:rPr>
          <w:rStyle w:val="Bodytext2SmallCaps"/>
          <w:rFonts w:ascii="Times New Roman" w:eastAsia="Courier New" w:hAnsi="Times New Roman" w:cs="Times New Roman"/>
          <w:bCs/>
          <w:color w:val="auto"/>
          <w:sz w:val="24"/>
          <w:szCs w:val="24"/>
          <w:lang w:val="bg-BG"/>
        </w:rPr>
        <w:t>Реч, изнесена пред Фондацията за правни изследвания</w:t>
      </w:r>
    </w:p>
    <w:p w:rsidR="004C4AA1" w:rsidRPr="0080270B" w:rsidRDefault="004C4AA1" w:rsidP="00543F35">
      <w:pPr>
        <w:pStyle w:val="Bodytext20"/>
        <w:shd w:val="clear" w:color="auto" w:fill="auto"/>
        <w:spacing w:before="120" w:after="120" w:line="240" w:lineRule="auto"/>
        <w:ind w:right="140"/>
        <w:rPr>
          <w:rStyle w:val="Bodytext2SmallCaps"/>
          <w:rFonts w:ascii="Times New Roman" w:eastAsia="Courier New" w:hAnsi="Times New Roman" w:cs="Times New Roman"/>
          <w:bCs/>
          <w:color w:val="auto"/>
          <w:sz w:val="24"/>
          <w:szCs w:val="24"/>
          <w:lang w:val="ru-RU"/>
        </w:rPr>
      </w:pPr>
      <w:r w:rsidRPr="00F172D2">
        <w:rPr>
          <w:rStyle w:val="Bodytext2SmallCaps"/>
          <w:rFonts w:ascii="Times New Roman" w:eastAsia="Courier New" w:hAnsi="Times New Roman" w:cs="Times New Roman"/>
          <w:bCs/>
          <w:color w:val="auto"/>
          <w:sz w:val="24"/>
          <w:szCs w:val="24"/>
          <w:lang w:val="bg-BG"/>
        </w:rPr>
        <w:t xml:space="preserve">на </w:t>
      </w:r>
      <w:r w:rsidRPr="0080270B">
        <w:rPr>
          <w:rStyle w:val="Bodytext2SmallCaps"/>
          <w:rFonts w:ascii="Times New Roman" w:eastAsia="Courier New" w:hAnsi="Times New Roman" w:cs="Times New Roman"/>
          <w:bCs/>
          <w:color w:val="auto"/>
          <w:sz w:val="24"/>
          <w:szCs w:val="24"/>
          <w:lang w:val="ru-RU"/>
        </w:rPr>
        <w:t xml:space="preserve">25 </w:t>
      </w:r>
      <w:r w:rsidRPr="00F172D2">
        <w:rPr>
          <w:rStyle w:val="Bodytext2SmallCaps"/>
          <w:rFonts w:ascii="Times New Roman" w:eastAsia="Courier New" w:hAnsi="Times New Roman" w:cs="Times New Roman"/>
          <w:bCs/>
          <w:color w:val="auto"/>
          <w:sz w:val="24"/>
          <w:szCs w:val="24"/>
          <w:lang w:val="bg-BG"/>
        </w:rPr>
        <w:t xml:space="preserve">септември </w:t>
      </w:r>
      <w:r w:rsidRPr="0080270B">
        <w:rPr>
          <w:rStyle w:val="Bodytext2SmallCaps"/>
          <w:rFonts w:ascii="Times New Roman" w:eastAsia="Courier New" w:hAnsi="Times New Roman" w:cs="Times New Roman"/>
          <w:bCs/>
          <w:color w:val="auto"/>
          <w:sz w:val="24"/>
          <w:szCs w:val="24"/>
          <w:lang w:val="ru-RU"/>
        </w:rPr>
        <w:t>2015</w:t>
      </w:r>
      <w:r w:rsidR="001B64D4">
        <w:rPr>
          <w:rStyle w:val="FootnoteReference"/>
          <w:rFonts w:ascii="Times New Roman" w:hAnsi="Times New Roman"/>
          <w:b w:val="0"/>
          <w:smallCaps/>
          <w:color w:val="auto"/>
          <w:sz w:val="24"/>
          <w:szCs w:val="24"/>
          <w:lang w:val="ru-RU"/>
        </w:rPr>
        <w:footnoteReference w:id="2"/>
      </w:r>
    </w:p>
    <w:p w:rsidR="004C4AA1" w:rsidRPr="006C7C02" w:rsidRDefault="004C4AA1" w:rsidP="00543F35">
      <w:pPr>
        <w:pStyle w:val="Bodytext20"/>
        <w:shd w:val="clear" w:color="auto" w:fill="auto"/>
        <w:spacing w:before="120" w:after="120" w:line="240" w:lineRule="auto"/>
        <w:ind w:right="140"/>
        <w:rPr>
          <w:rFonts w:ascii="Times New Roman" w:hAnsi="Times New Roman" w:cs="Times New Roman"/>
          <w:color w:val="auto"/>
          <w:sz w:val="24"/>
          <w:szCs w:val="24"/>
          <w:lang w:val="bg-BG"/>
        </w:rPr>
      </w:pPr>
    </w:p>
    <w:p w:rsidR="004C4AA1" w:rsidRPr="00F172D2" w:rsidRDefault="004C4AA1" w:rsidP="00543F35">
      <w:pPr>
        <w:pStyle w:val="Heading10"/>
        <w:shd w:val="clear" w:color="auto" w:fill="auto"/>
        <w:spacing w:before="120" w:after="120" w:line="240" w:lineRule="auto"/>
        <w:ind w:left="360"/>
        <w:rPr>
          <w:rFonts w:ascii="Times New Roman" w:hAnsi="Times New Roman" w:cs="Times New Roman"/>
          <w:color w:val="auto"/>
          <w:lang w:val="bg-BG"/>
        </w:rPr>
      </w:pPr>
      <w:r w:rsidRPr="00F172D2">
        <w:rPr>
          <w:rFonts w:ascii="Times New Roman" w:hAnsi="Times New Roman" w:cs="Times New Roman"/>
          <w:color w:val="auto"/>
          <w:lang w:val="bg-BG"/>
        </w:rPr>
        <w:t>Въведение</w:t>
      </w:r>
    </w:p>
    <w:p w:rsidR="004C4AA1" w:rsidRPr="0080270B" w:rsidRDefault="004C4AA1" w:rsidP="00543F35">
      <w:pPr>
        <w:pStyle w:val="BodyText21"/>
        <w:numPr>
          <w:ilvl w:val="0"/>
          <w:numId w:val="1"/>
        </w:numPr>
        <w:shd w:val="clear" w:color="auto" w:fill="auto"/>
        <w:tabs>
          <w:tab w:val="left" w:pos="347"/>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За мен е едновременно и удоволствие, и привилегия възможността днес да говоря пред Фондацията за правни изследвания (</w:t>
      </w:r>
      <w:r w:rsidRPr="00F172D2">
        <w:rPr>
          <w:rFonts w:ascii="Times New Roman" w:hAnsi="Times New Roman" w:cs="Times New Roman"/>
          <w:color w:val="auto"/>
          <w:sz w:val="24"/>
          <w:szCs w:val="24"/>
        </w:rPr>
        <w:t>Legal</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Research</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Foundation</w:t>
      </w:r>
      <w:r w:rsidRPr="00F172D2">
        <w:rPr>
          <w:rStyle w:val="FootnoteReference"/>
          <w:rFonts w:ascii="Times New Roman" w:hAnsi="Times New Roman"/>
          <w:smallCaps/>
          <w:color w:val="auto"/>
          <w:sz w:val="24"/>
          <w:szCs w:val="24"/>
        </w:rPr>
        <w:footnoteReference w:id="3"/>
      </w:r>
      <w:r w:rsidRPr="00F172D2">
        <w:rPr>
          <w:rFonts w:ascii="Times New Roman" w:hAnsi="Times New Roman" w:cs="Times New Roman"/>
          <w:color w:val="auto"/>
          <w:sz w:val="24"/>
          <w:szCs w:val="24"/>
          <w:lang w:val="bg-BG"/>
        </w:rPr>
        <w:t>)</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в годината, в която отбелязваме </w:t>
      </w:r>
      <w:r w:rsidRPr="0080270B">
        <w:rPr>
          <w:rFonts w:ascii="Times New Roman" w:hAnsi="Times New Roman" w:cs="Times New Roman"/>
          <w:color w:val="auto"/>
          <w:sz w:val="24"/>
          <w:szCs w:val="24"/>
          <w:lang w:val="ru-RU"/>
        </w:rPr>
        <w:t>800</w:t>
      </w:r>
      <w:r w:rsidRPr="0080270B">
        <w:rPr>
          <w:rFonts w:ascii="Times New Roman" w:hAnsi="Times New Roman" w:cs="Times New Roman"/>
          <w:color w:val="auto"/>
          <w:sz w:val="24"/>
          <w:szCs w:val="24"/>
          <w:vertAlign w:val="superscript"/>
          <w:lang w:val="ru-RU"/>
        </w:rPr>
        <w:t xml:space="preserve">-ната </w:t>
      </w:r>
      <w:r w:rsidRPr="00F172D2">
        <w:rPr>
          <w:rFonts w:ascii="Times New Roman" w:hAnsi="Times New Roman" w:cs="Times New Roman"/>
          <w:color w:val="auto"/>
          <w:sz w:val="24"/>
          <w:szCs w:val="24"/>
          <w:lang w:val="bg-BG"/>
        </w:rPr>
        <w:t xml:space="preserve">годишнина на Магна Харта и в която Нова Зеландия </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празнува </w:t>
      </w:r>
      <w:r w:rsidRPr="0080270B">
        <w:rPr>
          <w:rFonts w:ascii="Times New Roman" w:hAnsi="Times New Roman" w:cs="Times New Roman"/>
          <w:color w:val="auto"/>
          <w:sz w:val="24"/>
          <w:szCs w:val="24"/>
          <w:lang w:val="ru-RU"/>
        </w:rPr>
        <w:t>25</w:t>
      </w:r>
      <w:r>
        <w:rPr>
          <w:rFonts w:ascii="Times New Roman" w:hAnsi="Times New Roman" w:cs="Times New Roman"/>
          <w:color w:val="auto"/>
          <w:sz w:val="24"/>
          <w:szCs w:val="24"/>
          <w:lang w:val="bg-BG"/>
        </w:rPr>
        <w:t>-</w:t>
      </w:r>
      <w:r w:rsidRPr="00F172D2">
        <w:rPr>
          <w:rFonts w:ascii="Times New Roman" w:hAnsi="Times New Roman" w:cs="Times New Roman"/>
          <w:color w:val="auto"/>
          <w:sz w:val="24"/>
          <w:szCs w:val="24"/>
          <w:lang w:val="bg-BG"/>
        </w:rPr>
        <w:t xml:space="preserve">ата годишнина от своя Закон за хартата на правата </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en-US"/>
        </w:rPr>
        <w:t>Bill</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of</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Rights</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Act</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а Фондацията за правни изследвания празнува своята </w:t>
      </w:r>
      <w:r w:rsidRPr="0080270B">
        <w:rPr>
          <w:rFonts w:ascii="Times New Roman" w:hAnsi="Times New Roman" w:cs="Times New Roman"/>
          <w:color w:val="auto"/>
          <w:sz w:val="24"/>
          <w:szCs w:val="24"/>
          <w:lang w:val="ru-RU"/>
        </w:rPr>
        <w:t>50</w:t>
      </w:r>
      <w:r>
        <w:rPr>
          <w:rFonts w:ascii="Times New Roman" w:hAnsi="Times New Roman" w:cs="Times New Roman"/>
          <w:color w:val="auto"/>
          <w:sz w:val="24"/>
          <w:szCs w:val="24"/>
          <w:lang w:val="bg-BG"/>
        </w:rPr>
        <w:t>-</w:t>
      </w:r>
      <w:r w:rsidRPr="00F172D2">
        <w:rPr>
          <w:rFonts w:ascii="Times New Roman" w:hAnsi="Times New Roman" w:cs="Times New Roman"/>
          <w:color w:val="auto"/>
          <w:sz w:val="24"/>
          <w:szCs w:val="24"/>
          <w:lang w:val="bg-BG"/>
        </w:rPr>
        <w:t>а годишнина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56"/>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В този къ</w:t>
      </w:r>
      <w:r>
        <w:rPr>
          <w:rFonts w:ascii="Times New Roman" w:hAnsi="Times New Roman" w:cs="Times New Roman"/>
          <w:color w:val="auto"/>
          <w:sz w:val="24"/>
          <w:szCs w:val="24"/>
          <w:lang w:val="bg-BG"/>
        </w:rPr>
        <w:t>сен етап на отбелязване на 800-н</w:t>
      </w:r>
      <w:r w:rsidRPr="00F172D2">
        <w:rPr>
          <w:rFonts w:ascii="Times New Roman" w:hAnsi="Times New Roman" w:cs="Times New Roman"/>
          <w:color w:val="auto"/>
          <w:sz w:val="24"/>
          <w:szCs w:val="24"/>
          <w:lang w:val="bg-BG"/>
        </w:rPr>
        <w:t>а</w:t>
      </w:r>
      <w:r>
        <w:rPr>
          <w:rFonts w:ascii="Times New Roman" w:hAnsi="Times New Roman" w:cs="Times New Roman"/>
          <w:color w:val="auto"/>
          <w:sz w:val="24"/>
          <w:szCs w:val="24"/>
          <w:lang w:val="bg-BG"/>
        </w:rPr>
        <w:t>та</w:t>
      </w:r>
      <w:r w:rsidRPr="00F172D2">
        <w:rPr>
          <w:rFonts w:ascii="Times New Roman" w:hAnsi="Times New Roman" w:cs="Times New Roman"/>
          <w:color w:val="auto"/>
          <w:sz w:val="24"/>
          <w:szCs w:val="24"/>
          <w:lang w:val="bg-BG"/>
        </w:rPr>
        <w:t xml:space="preserve"> годишнина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се надявам, че ще ми простите, ако прескоча всички опити за изтъкване на историческите уроци за използването на Марна Харта от страна на съдиите от общото право през 17-ти век, както и нейното влияние върху грамотите, хартите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декларациите и конституциите по света, които са толкова добре известни и толкова добре изследвани</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Поради това веднага бих искал да се обърнем към двете най-известни клаузи – клаузи - </w:t>
      </w:r>
      <w:r w:rsidRPr="0080270B">
        <w:rPr>
          <w:rFonts w:ascii="Times New Roman" w:hAnsi="Times New Roman" w:cs="Times New Roman"/>
          <w:color w:val="auto"/>
          <w:sz w:val="24"/>
          <w:szCs w:val="24"/>
          <w:lang w:val="ru-RU"/>
        </w:rPr>
        <w:t xml:space="preserve">39 </w:t>
      </w:r>
      <w:r w:rsidRPr="00F172D2">
        <w:rPr>
          <w:rFonts w:ascii="Times New Roman" w:hAnsi="Times New Roman" w:cs="Times New Roman"/>
          <w:color w:val="auto"/>
          <w:sz w:val="24"/>
          <w:szCs w:val="24"/>
          <w:lang w:val="bg-BG"/>
        </w:rPr>
        <w:t>и</w:t>
      </w:r>
      <w:r w:rsidRPr="0080270B">
        <w:rPr>
          <w:rFonts w:ascii="Times New Roman" w:hAnsi="Times New Roman" w:cs="Times New Roman"/>
          <w:color w:val="auto"/>
          <w:sz w:val="24"/>
          <w:szCs w:val="24"/>
          <w:lang w:val="ru-RU"/>
        </w:rPr>
        <w:t xml:space="preserve"> 40:</w:t>
      </w:r>
      <w:r w:rsidRPr="00F172D2">
        <w:rPr>
          <w:rStyle w:val="FootnoteReference"/>
          <w:rFonts w:ascii="Times New Roman" w:hAnsi="Times New Roman"/>
          <w:color w:val="auto"/>
          <w:sz w:val="24"/>
          <w:szCs w:val="24"/>
        </w:rPr>
        <w:footnoteReference w:id="4"/>
      </w:r>
    </w:p>
    <w:p w:rsidR="004C4AA1" w:rsidRPr="0080270B" w:rsidRDefault="004C4AA1" w:rsidP="00543F35">
      <w:pPr>
        <w:pStyle w:val="BodyText21"/>
        <w:numPr>
          <w:ilvl w:val="0"/>
          <w:numId w:val="2"/>
        </w:numPr>
        <w:shd w:val="clear" w:color="auto" w:fill="auto"/>
        <w:tabs>
          <w:tab w:val="left" w:pos="1291"/>
        </w:tabs>
        <w:spacing w:before="120" w:after="120" w:line="240" w:lineRule="auto"/>
        <w:ind w:left="720" w:right="4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Никой свободен човек няма да бъде задържан или затварян, лишаван от имот или поставян извън закона, или прогонван</w:t>
      </w:r>
      <w:r>
        <w:rPr>
          <w:rFonts w:ascii="Times New Roman" w:hAnsi="Times New Roman" w:cs="Times New Roman"/>
          <w:color w:val="auto"/>
          <w:sz w:val="24"/>
          <w:szCs w:val="24"/>
          <w:lang w:val="bg-BG"/>
        </w:rPr>
        <w:t>,</w:t>
      </w:r>
      <w:r w:rsidRPr="00F172D2">
        <w:rPr>
          <w:rFonts w:ascii="Times New Roman" w:hAnsi="Times New Roman" w:cs="Times New Roman"/>
          <w:color w:val="auto"/>
          <w:sz w:val="24"/>
          <w:szCs w:val="24"/>
          <w:lang w:val="bg-BG"/>
        </w:rPr>
        <w:t xml:space="preserve"> или разсипван по друг начин</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нито ние ще го преследваме </w:t>
      </w:r>
      <w:r>
        <w:rPr>
          <w:rFonts w:ascii="Times New Roman" w:hAnsi="Times New Roman" w:cs="Times New Roman"/>
          <w:color w:val="auto"/>
          <w:sz w:val="24"/>
          <w:szCs w:val="24"/>
          <w:lang w:val="bg-BG"/>
        </w:rPr>
        <w:t xml:space="preserve">или ще пращаме хора срещу него </w:t>
      </w:r>
      <w:r w:rsidRPr="00F172D2">
        <w:rPr>
          <w:rFonts w:ascii="Times New Roman" w:hAnsi="Times New Roman" w:cs="Times New Roman"/>
          <w:color w:val="auto"/>
          <w:sz w:val="24"/>
          <w:szCs w:val="24"/>
          <w:lang w:val="bg-BG"/>
        </w:rPr>
        <w:t xml:space="preserve">освен по силата на законно решение на неговите равнопоставени </w:t>
      </w:r>
      <w:r>
        <w:rPr>
          <w:rFonts w:ascii="Times New Roman" w:hAnsi="Times New Roman" w:cs="Times New Roman"/>
          <w:color w:val="auto"/>
          <w:sz w:val="24"/>
          <w:szCs w:val="24"/>
          <w:lang w:val="bg-BG"/>
        </w:rPr>
        <w:t>или съгласно закона на тази страна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2"/>
        </w:numPr>
        <w:shd w:val="clear" w:color="auto" w:fill="auto"/>
        <w:tabs>
          <w:tab w:val="left" w:pos="1234"/>
        </w:tabs>
        <w:spacing w:before="120" w:after="120" w:line="240" w:lineRule="auto"/>
        <w:ind w:left="720" w:right="4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Никому няма да продаваме, на никого няма да отказваме или отлагаме право или правосъдие</w:t>
      </w:r>
      <w:r w:rsidRPr="0080270B">
        <w:rPr>
          <w:rFonts w:ascii="Times New Roman" w:hAnsi="Times New Roman" w:cs="Times New Roman"/>
          <w:color w:val="auto"/>
          <w:sz w:val="24"/>
          <w:szCs w:val="24"/>
          <w:lang w:val="ru-RU"/>
        </w:rPr>
        <w:t>.</w:t>
      </w:r>
    </w:p>
    <w:p w:rsidR="004C4AA1" w:rsidRPr="00F172D2" w:rsidRDefault="004C4AA1" w:rsidP="00543F35">
      <w:pPr>
        <w:pStyle w:val="BodyText21"/>
        <w:numPr>
          <w:ilvl w:val="0"/>
          <w:numId w:val="1"/>
        </w:numPr>
        <w:shd w:val="clear" w:color="auto" w:fill="auto"/>
        <w:tabs>
          <w:tab w:val="left" w:pos="350"/>
        </w:tabs>
        <w:spacing w:before="120" w:after="120" w:line="240" w:lineRule="auto"/>
        <w:ind w:left="360" w:right="40" w:hanging="360"/>
        <w:rPr>
          <w:rFonts w:ascii="Times New Roman" w:hAnsi="Times New Roman" w:cs="Times New Roman"/>
          <w:color w:val="auto"/>
          <w:sz w:val="24"/>
          <w:szCs w:val="24"/>
          <w:lang w:val="bg-BG"/>
        </w:rPr>
      </w:pPr>
      <w:r w:rsidRPr="00F172D2">
        <w:rPr>
          <w:rFonts w:ascii="Times New Roman" w:hAnsi="Times New Roman" w:cs="Times New Roman"/>
          <w:color w:val="auto"/>
          <w:sz w:val="24"/>
          <w:szCs w:val="24"/>
          <w:lang w:val="bg-BG"/>
        </w:rPr>
        <w:t>Тези клаузи въплъщават принципи, които днес никой не оспорва – справедлив процес, равенство пред закона и достъп до 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Надявам се, че ще представлява по-голям интерес, ако се концентрирам върху последната част, като се има предвид днешната програма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Във всеки случай, без подходящ достъп до </w:t>
      </w:r>
      <w:r w:rsidRPr="00F172D2">
        <w:rPr>
          <w:rFonts w:ascii="Times New Roman" w:hAnsi="Times New Roman" w:cs="Times New Roman"/>
          <w:color w:val="auto"/>
          <w:sz w:val="24"/>
          <w:szCs w:val="24"/>
          <w:lang w:val="bg-BG"/>
        </w:rPr>
        <w:lastRenderedPageBreak/>
        <w:t>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другите права – на справедлив процес и равенство пред закона, както и подробните принципи, съдържащи се в хартите на правата, не могат да бъдат защитени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Добре е и да не пренебрегваме това, което се случва в съвременното общество по отношение на достъпа до правосъдие. Мнозина, за съжаление, правят именно това.</w:t>
      </w:r>
    </w:p>
    <w:p w:rsidR="004C4AA1" w:rsidRPr="0080270B" w:rsidRDefault="004C4AA1" w:rsidP="00543F35">
      <w:pPr>
        <w:pStyle w:val="BodyText21"/>
        <w:numPr>
          <w:ilvl w:val="0"/>
          <w:numId w:val="1"/>
        </w:numPr>
        <w:shd w:val="clear" w:color="auto" w:fill="auto"/>
        <w:tabs>
          <w:tab w:val="left" w:pos="355"/>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За изследването на въпросите за достъпа до правосъдие днес</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наследството на Магна Харта не се съдържа единствено в клаузи </w:t>
      </w:r>
      <w:r w:rsidRPr="0080270B">
        <w:rPr>
          <w:rFonts w:ascii="Times New Roman" w:hAnsi="Times New Roman" w:cs="Times New Roman"/>
          <w:color w:val="auto"/>
          <w:sz w:val="24"/>
          <w:szCs w:val="24"/>
          <w:lang w:val="ru-RU"/>
        </w:rPr>
        <w:t xml:space="preserve">39 </w:t>
      </w:r>
      <w:r w:rsidRPr="00F172D2">
        <w:rPr>
          <w:rFonts w:ascii="Times New Roman" w:hAnsi="Times New Roman" w:cs="Times New Roman"/>
          <w:color w:val="auto"/>
          <w:sz w:val="24"/>
          <w:szCs w:val="24"/>
          <w:lang w:val="bg-BG"/>
        </w:rPr>
        <w:t xml:space="preserve">и </w:t>
      </w:r>
      <w:r w:rsidRPr="0080270B">
        <w:rPr>
          <w:rFonts w:ascii="Times New Roman" w:hAnsi="Times New Roman" w:cs="Times New Roman"/>
          <w:color w:val="auto"/>
          <w:sz w:val="24"/>
          <w:szCs w:val="24"/>
          <w:lang w:val="ru-RU"/>
        </w:rPr>
        <w:t xml:space="preserve">40. </w:t>
      </w:r>
      <w:r w:rsidRPr="00F172D2">
        <w:rPr>
          <w:rFonts w:ascii="Times New Roman" w:hAnsi="Times New Roman" w:cs="Times New Roman"/>
          <w:color w:val="auto"/>
          <w:sz w:val="24"/>
          <w:szCs w:val="24"/>
          <w:lang w:val="bg-BG"/>
        </w:rPr>
        <w:t xml:space="preserve">Поради това ще разгледам принципите, съдържащи се в някои от другите клаузи на Магна Харта, за да видим как те трябва да повлияят </w:t>
      </w:r>
      <w:r>
        <w:rPr>
          <w:rFonts w:ascii="Times New Roman" w:hAnsi="Times New Roman" w:cs="Times New Roman"/>
          <w:color w:val="auto"/>
          <w:sz w:val="24"/>
          <w:szCs w:val="24"/>
          <w:lang w:val="bg-BG"/>
        </w:rPr>
        <w:t>на нашето</w:t>
      </w:r>
      <w:r w:rsidRPr="00F172D2">
        <w:rPr>
          <w:rFonts w:ascii="Times New Roman" w:hAnsi="Times New Roman" w:cs="Times New Roman"/>
          <w:color w:val="auto"/>
          <w:sz w:val="24"/>
          <w:szCs w:val="24"/>
          <w:lang w:val="bg-BG"/>
        </w:rPr>
        <w:t xml:space="preserve"> мислене</w:t>
      </w:r>
      <w:r>
        <w:rPr>
          <w:rFonts w:ascii="Times New Roman" w:hAnsi="Times New Roman" w:cs="Times New Roman"/>
          <w:color w:val="auto"/>
          <w:sz w:val="24"/>
          <w:szCs w:val="24"/>
          <w:lang w:val="bg-BG"/>
        </w:rPr>
        <w:t xml:space="preserve"> в бъдеще, така че</w:t>
      </w:r>
      <w:r w:rsidRPr="00F172D2">
        <w:rPr>
          <w:rFonts w:ascii="Times New Roman" w:hAnsi="Times New Roman" w:cs="Times New Roman"/>
          <w:color w:val="auto"/>
          <w:sz w:val="24"/>
          <w:szCs w:val="24"/>
          <w:lang w:val="bg-BG"/>
        </w:rPr>
        <w:t xml:space="preserve">  достъпът до правосъдие и защитата на останалите права</w:t>
      </w:r>
      <w:r>
        <w:rPr>
          <w:rFonts w:ascii="Times New Roman" w:hAnsi="Times New Roman" w:cs="Times New Roman"/>
          <w:color w:val="auto"/>
          <w:sz w:val="24"/>
          <w:szCs w:val="24"/>
          <w:lang w:val="bg-BG"/>
        </w:rPr>
        <w:t xml:space="preserve"> да бъдат съхранени</w:t>
      </w:r>
      <w:r w:rsidRPr="0080270B">
        <w:rPr>
          <w:rFonts w:ascii="Times New Roman" w:hAnsi="Times New Roman" w:cs="Times New Roman"/>
          <w:color w:val="auto"/>
          <w:sz w:val="24"/>
          <w:szCs w:val="24"/>
          <w:lang w:val="ru-RU"/>
        </w:rPr>
        <w:t>.</w:t>
      </w:r>
    </w:p>
    <w:p w:rsidR="004C4AA1" w:rsidRPr="0080270B" w:rsidRDefault="004C4AA1" w:rsidP="00543F35">
      <w:pPr>
        <w:pStyle w:val="Bodytext30"/>
        <w:shd w:val="clear" w:color="auto" w:fill="auto"/>
        <w:spacing w:before="120" w:after="120" w:line="240" w:lineRule="auto"/>
        <w:ind w:left="400"/>
        <w:rPr>
          <w:rFonts w:ascii="Times New Roman" w:hAnsi="Times New Roman" w:cs="Times New Roman"/>
          <w:color w:val="auto"/>
          <w:lang w:val="ru-RU"/>
        </w:rPr>
      </w:pPr>
    </w:p>
    <w:p w:rsidR="004C4AA1" w:rsidRPr="00F172D2" w:rsidRDefault="004C4AA1" w:rsidP="00543F35">
      <w:pPr>
        <w:pStyle w:val="Bodytext30"/>
        <w:shd w:val="clear" w:color="auto" w:fill="auto"/>
        <w:spacing w:before="120" w:after="120" w:line="240" w:lineRule="auto"/>
        <w:ind w:left="400"/>
        <w:rPr>
          <w:rFonts w:ascii="Times New Roman" w:hAnsi="Times New Roman" w:cs="Times New Roman"/>
          <w:color w:val="auto"/>
          <w:lang w:val="bg-BG"/>
        </w:rPr>
      </w:pPr>
      <w:r w:rsidRPr="00F172D2">
        <w:rPr>
          <w:rFonts w:ascii="Times New Roman" w:hAnsi="Times New Roman" w:cs="Times New Roman"/>
          <w:color w:val="auto"/>
          <w:lang w:val="bg-BG"/>
        </w:rPr>
        <w:t>Контекстът</w:t>
      </w:r>
    </w:p>
    <w:p w:rsidR="004C4AA1" w:rsidRPr="0080270B" w:rsidRDefault="004C4AA1" w:rsidP="00543F35">
      <w:pPr>
        <w:pStyle w:val="BodyText21"/>
        <w:numPr>
          <w:ilvl w:val="0"/>
          <w:numId w:val="1"/>
        </w:numPr>
        <w:shd w:val="clear" w:color="auto" w:fill="auto"/>
        <w:tabs>
          <w:tab w:val="left" w:pos="375"/>
        </w:tabs>
        <w:spacing w:before="120" w:after="120" w:line="240" w:lineRule="auto"/>
        <w:ind w:left="400" w:right="20" w:hanging="38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Бих могъл да разглеждам настоящото състояние на достъпа до правосъдие само като юрист от общото право, който произхожда от Европа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В този европейски контекст </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и с оглед събитията след финансовата криза от </w:t>
      </w:r>
      <w:r w:rsidRPr="0080270B">
        <w:rPr>
          <w:rFonts w:ascii="Times New Roman" w:hAnsi="Times New Roman" w:cs="Times New Roman"/>
          <w:color w:val="auto"/>
          <w:sz w:val="24"/>
          <w:szCs w:val="24"/>
          <w:lang w:val="ru-RU"/>
        </w:rPr>
        <w:t xml:space="preserve">2008 </w:t>
      </w:r>
      <w:r w:rsidRPr="00F172D2">
        <w:rPr>
          <w:rFonts w:ascii="Times New Roman" w:hAnsi="Times New Roman" w:cs="Times New Roman"/>
          <w:color w:val="auto"/>
          <w:sz w:val="24"/>
          <w:szCs w:val="24"/>
          <w:lang w:val="bg-BG"/>
        </w:rPr>
        <w:t>г.</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мисля, че би било полезно да разгледаме три значителни въпроса, които следва да бъдат разрешени, ако наистина искаме да имаме достъп до правосъдие по такъв начин, който осигурява възможността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останалите права, уредени в Магна Харта и нейните „наследници“, да бъдат защитавани и развивани</w:t>
      </w:r>
      <w:r w:rsidRPr="0080270B">
        <w:rPr>
          <w:rFonts w:ascii="Times New Roman" w:hAnsi="Times New Roman" w:cs="Times New Roman"/>
          <w:color w:val="auto"/>
          <w:sz w:val="24"/>
          <w:szCs w:val="24"/>
          <w:lang w:val="ru-RU"/>
        </w:rPr>
        <w:t>:</w:t>
      </w:r>
    </w:p>
    <w:p w:rsidR="004C4AA1" w:rsidRPr="0080270B" w:rsidRDefault="004C4AA1" w:rsidP="00CF28C4">
      <w:pPr>
        <w:pStyle w:val="BodyText21"/>
        <w:numPr>
          <w:ilvl w:val="0"/>
          <w:numId w:val="3"/>
        </w:numPr>
        <w:shd w:val="clear" w:color="auto" w:fill="auto"/>
        <w:tabs>
          <w:tab w:val="left" w:pos="1024"/>
        </w:tabs>
        <w:spacing w:before="120" w:after="120" w:line="240" w:lineRule="auto"/>
        <w:ind w:left="425" w:right="23"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финансирането на достъпа до правосъдие във времена на ограничени държавни бюджети</w:t>
      </w:r>
      <w:r w:rsidRPr="0080270B">
        <w:rPr>
          <w:rFonts w:ascii="Times New Roman" w:hAnsi="Times New Roman" w:cs="Times New Roman"/>
          <w:color w:val="auto"/>
          <w:sz w:val="24"/>
          <w:szCs w:val="24"/>
          <w:lang w:val="ru-RU"/>
        </w:rPr>
        <w:t>;</w:t>
      </w:r>
    </w:p>
    <w:p w:rsidR="004C4AA1" w:rsidRPr="0080270B" w:rsidRDefault="004C4AA1" w:rsidP="00CF28C4">
      <w:pPr>
        <w:pStyle w:val="BodyText21"/>
        <w:numPr>
          <w:ilvl w:val="0"/>
          <w:numId w:val="3"/>
        </w:numPr>
        <w:shd w:val="clear" w:color="auto" w:fill="auto"/>
        <w:tabs>
          <w:tab w:val="left" w:pos="1024"/>
        </w:tabs>
        <w:spacing w:before="120" w:after="120" w:line="240" w:lineRule="auto"/>
        <w:ind w:left="425" w:right="23"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установяването на подходящ обхват на частното правосъдие; </w:t>
      </w:r>
    </w:p>
    <w:p w:rsidR="004C4AA1" w:rsidRPr="00F172D2" w:rsidRDefault="004C4AA1" w:rsidP="00CF28C4">
      <w:pPr>
        <w:pStyle w:val="BodyText21"/>
        <w:numPr>
          <w:ilvl w:val="0"/>
          <w:numId w:val="3"/>
        </w:numPr>
        <w:shd w:val="clear" w:color="auto" w:fill="auto"/>
        <w:tabs>
          <w:tab w:val="left" w:pos="1024"/>
        </w:tabs>
        <w:spacing w:before="120" w:after="120" w:line="240" w:lineRule="auto"/>
        <w:ind w:left="425" w:right="23" w:firstLine="0"/>
        <w:rPr>
          <w:rFonts w:ascii="Times New Roman" w:hAnsi="Times New Roman" w:cs="Times New Roman"/>
          <w:color w:val="auto"/>
          <w:sz w:val="24"/>
          <w:szCs w:val="24"/>
          <w:lang w:val="bg-BG"/>
        </w:rPr>
      </w:pPr>
      <w:r w:rsidRPr="00F172D2">
        <w:rPr>
          <w:rFonts w:ascii="Times New Roman" w:hAnsi="Times New Roman" w:cs="Times New Roman"/>
          <w:color w:val="auto"/>
          <w:sz w:val="24"/>
          <w:szCs w:val="24"/>
          <w:lang w:val="bg-BG"/>
        </w:rPr>
        <w:t>разширяване на достъпа до правосъдие в съдилищата чрез технологиите и реформирането на съдопроизводството.</w:t>
      </w:r>
    </w:p>
    <w:p w:rsidR="004C4AA1" w:rsidRPr="0080270B" w:rsidRDefault="004C4AA1" w:rsidP="00543F35">
      <w:pPr>
        <w:pStyle w:val="BodyText21"/>
        <w:numPr>
          <w:ilvl w:val="0"/>
          <w:numId w:val="1"/>
        </w:numPr>
        <w:shd w:val="clear" w:color="auto" w:fill="auto"/>
        <w:tabs>
          <w:tab w:val="left" w:pos="375"/>
        </w:tabs>
        <w:spacing w:before="120" w:after="120" w:line="240" w:lineRule="auto"/>
        <w:ind w:left="400" w:right="20" w:hanging="38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Не е уместно за един съдия да приветства или изразява съжаление за намалените бюджети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разрастването на частното правораздаване или появата на нови технологии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но е ключово да се справим с всеки един от тези въпроси, ако желаем да съхраним нашето наследство и гарантираме ценностите, въплътени в Магна Харта, за бъдещите поколения</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Това е особено важно, за да съхраним централната роля на правораздаването за поддържането на просперитета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демократичното управление и доброто състояние на нашите нации</w:t>
      </w:r>
      <w:r w:rsidRPr="0080270B">
        <w:rPr>
          <w:rFonts w:ascii="Times New Roman" w:hAnsi="Times New Roman" w:cs="Times New Roman"/>
          <w:color w:val="auto"/>
          <w:sz w:val="24"/>
          <w:szCs w:val="24"/>
          <w:lang w:val="ru-RU"/>
        </w:rPr>
        <w:t>.</w:t>
      </w:r>
    </w:p>
    <w:p w:rsidR="004C4AA1" w:rsidRPr="0080270B" w:rsidRDefault="004C4AA1" w:rsidP="00543F35">
      <w:pPr>
        <w:pStyle w:val="Bodytext30"/>
        <w:shd w:val="clear" w:color="auto" w:fill="auto"/>
        <w:spacing w:before="120" w:after="120" w:line="240" w:lineRule="auto"/>
        <w:ind w:left="400"/>
        <w:rPr>
          <w:rFonts w:ascii="Times New Roman" w:hAnsi="Times New Roman" w:cs="Times New Roman"/>
          <w:color w:val="auto"/>
          <w:lang w:val="ru-RU"/>
        </w:rPr>
      </w:pPr>
      <w:r w:rsidRPr="00F172D2">
        <w:rPr>
          <w:rFonts w:ascii="Times New Roman" w:hAnsi="Times New Roman" w:cs="Times New Roman"/>
          <w:color w:val="auto"/>
          <w:lang w:val="bg-BG"/>
        </w:rPr>
        <w:t>Достъп до правосъдие и финансиране на съдилищата</w:t>
      </w:r>
      <w:r w:rsidRPr="0080270B">
        <w:rPr>
          <w:rFonts w:ascii="Times New Roman" w:hAnsi="Times New Roman" w:cs="Times New Roman"/>
          <w:color w:val="auto"/>
          <w:lang w:val="ru-RU"/>
        </w:rPr>
        <w:t>.</w:t>
      </w:r>
    </w:p>
    <w:p w:rsidR="004C4AA1" w:rsidRPr="0080270B" w:rsidRDefault="004C4AA1" w:rsidP="00543F35">
      <w:pPr>
        <w:pStyle w:val="BodyText21"/>
        <w:numPr>
          <w:ilvl w:val="0"/>
          <w:numId w:val="1"/>
        </w:numPr>
        <w:shd w:val="clear" w:color="auto" w:fill="auto"/>
        <w:tabs>
          <w:tab w:val="left" w:pos="366"/>
        </w:tabs>
        <w:spacing w:before="120" w:after="120" w:line="240" w:lineRule="auto"/>
        <w:ind w:left="400" w:right="20" w:hanging="38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 Изграждането на правосъдна система, която осъществява съдебната функция, наред с осигуряването на изпълнителната и законодателната функция, широко се приема за основна държавна отговорност</w:t>
      </w:r>
      <w:r w:rsidRPr="0080270B">
        <w:rPr>
          <w:rFonts w:ascii="Times New Roman" w:hAnsi="Times New Roman" w:cs="Times New Roman"/>
          <w:color w:val="auto"/>
          <w:sz w:val="24"/>
          <w:szCs w:val="24"/>
          <w:lang w:val="ru-RU"/>
        </w:rPr>
        <w:t xml:space="preserve">. </w:t>
      </w:r>
    </w:p>
    <w:p w:rsidR="004C4AA1" w:rsidRPr="0080270B" w:rsidRDefault="004C4AA1" w:rsidP="004F2E36">
      <w:pPr>
        <w:pStyle w:val="BodyText21"/>
        <w:shd w:val="clear" w:color="auto" w:fill="auto"/>
        <w:tabs>
          <w:tab w:val="left" w:pos="366"/>
        </w:tabs>
        <w:spacing w:before="120" w:after="120" w:line="240" w:lineRule="auto"/>
        <w:ind w:left="400" w:right="2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Клауза </w:t>
      </w:r>
      <w:r w:rsidRPr="0080270B">
        <w:rPr>
          <w:rFonts w:ascii="Times New Roman" w:hAnsi="Times New Roman" w:cs="Times New Roman"/>
          <w:color w:val="auto"/>
          <w:sz w:val="24"/>
          <w:szCs w:val="24"/>
          <w:lang w:val="ru-RU"/>
        </w:rPr>
        <w:t xml:space="preserve">40 </w:t>
      </w:r>
      <w:r w:rsidRPr="00F172D2">
        <w:rPr>
          <w:rFonts w:ascii="Times New Roman" w:hAnsi="Times New Roman" w:cs="Times New Roman"/>
          <w:color w:val="auto"/>
          <w:sz w:val="24"/>
          <w:szCs w:val="24"/>
          <w:lang w:val="bg-BG"/>
        </w:rPr>
        <w:t>въплъщава това, което ние сме възприели за фундаментална функция – предоставянето на бърза и ефективна система на правосъдие, достъпна за всички</w:t>
      </w:r>
      <w:r w:rsidRPr="0080270B">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bg-BG"/>
        </w:rPr>
        <w:t>Въпреки това</w:t>
      </w:r>
      <w:r w:rsidRPr="00F172D2">
        <w:rPr>
          <w:rFonts w:ascii="Times New Roman" w:hAnsi="Times New Roman" w:cs="Times New Roman"/>
          <w:color w:val="auto"/>
          <w:sz w:val="24"/>
          <w:szCs w:val="24"/>
          <w:lang w:val="bg-BG"/>
        </w:rPr>
        <w:t xml:space="preserve"> в Англия и Уелс никога не е съществувала система</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за разлика от нашата Националната здравна служба (</w:t>
      </w:r>
      <w:r w:rsidRPr="00F172D2">
        <w:rPr>
          <w:rFonts w:ascii="Times New Roman" w:hAnsi="Times New Roman" w:cs="Times New Roman"/>
          <w:color w:val="auto"/>
          <w:sz w:val="24"/>
          <w:szCs w:val="24"/>
          <w:lang w:val="en-US"/>
        </w:rPr>
        <w:t>National</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en-US"/>
        </w:rPr>
        <w:t>Health</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en-US"/>
        </w:rPr>
        <w:t>Service</w:t>
      </w:r>
      <w:r w:rsidRPr="00F172D2">
        <w:rPr>
          <w:rFonts w:ascii="Times New Roman" w:hAnsi="Times New Roman" w:cs="Times New Roman"/>
          <w:color w:val="auto"/>
          <w:sz w:val="24"/>
          <w:szCs w:val="24"/>
          <w:lang w:val="bg-BG"/>
        </w:rPr>
        <w:t>), която да е била предоставяна безплатно</w:t>
      </w:r>
      <w:r w:rsidRPr="0080270B">
        <w:rPr>
          <w:rFonts w:ascii="Times New Roman" w:hAnsi="Times New Roman" w:cs="Times New Roman"/>
          <w:color w:val="auto"/>
          <w:sz w:val="24"/>
          <w:szCs w:val="24"/>
          <w:lang w:val="ru-RU"/>
        </w:rPr>
        <w:t xml:space="preserve">. Винаги се е изисквало </w:t>
      </w:r>
      <w:r w:rsidRPr="00F172D2">
        <w:rPr>
          <w:rFonts w:ascii="Times New Roman" w:hAnsi="Times New Roman" w:cs="Times New Roman"/>
          <w:color w:val="auto"/>
          <w:sz w:val="24"/>
          <w:szCs w:val="24"/>
          <w:lang w:val="bg-BG"/>
        </w:rPr>
        <w:t>този, който я ползва, да има някакъв принос към разноските чрез заплащането на задължително дължимите такси</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438"/>
        </w:tabs>
        <w:spacing w:before="120" w:after="120" w:line="240" w:lineRule="auto"/>
        <w:ind w:left="38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Срещу това са излагани философски възражения</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Бентам говори за тях като за данък върху споровете</w:t>
      </w:r>
      <w:r w:rsidRPr="0080270B">
        <w:rPr>
          <w:rFonts w:ascii="Times New Roman" w:hAnsi="Times New Roman" w:cs="Times New Roman"/>
          <w:color w:val="auto"/>
          <w:sz w:val="24"/>
          <w:szCs w:val="24"/>
          <w:lang w:val="ru-RU"/>
        </w:rPr>
        <w:t xml:space="preserve"> и </w:t>
      </w:r>
      <w:r w:rsidRPr="00F172D2">
        <w:rPr>
          <w:rFonts w:ascii="Times New Roman" w:hAnsi="Times New Roman" w:cs="Times New Roman"/>
          <w:color w:val="auto"/>
          <w:sz w:val="24"/>
          <w:szCs w:val="24"/>
          <w:lang w:val="bg-BG"/>
        </w:rPr>
        <w:t>напада тази политика по един остър начин</w:t>
      </w:r>
      <w:r w:rsidRPr="0080270B">
        <w:rPr>
          <w:rFonts w:ascii="Times New Roman" w:hAnsi="Times New Roman" w:cs="Times New Roman"/>
          <w:color w:val="auto"/>
          <w:sz w:val="24"/>
          <w:szCs w:val="24"/>
          <w:lang w:val="ru-RU"/>
        </w:rPr>
        <w:t>:</w:t>
      </w:r>
    </w:p>
    <w:p w:rsidR="004C4AA1" w:rsidRPr="0080270B" w:rsidRDefault="004C4AA1" w:rsidP="00543F35">
      <w:pPr>
        <w:pStyle w:val="BodyText21"/>
        <w:shd w:val="clear" w:color="auto" w:fill="auto"/>
        <w:spacing w:before="120" w:after="120" w:line="240" w:lineRule="auto"/>
        <w:ind w:left="720" w:right="2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lastRenderedPageBreak/>
        <w:t>“Правосъдието е сигурността, която правото ни дава или ни обещава да ни даде, за всичко, което ценим или трябва да ценим в собствеността, свободата</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честта и живота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 е това притежание, което е равно по стойност на всички останали взети заедно, защото включва в себе си всички тях.</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Отказът от правосъдие е самата квинтесенция на повредата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сумата и субстанцията на всички останали видове вреди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Това не е само грабеж, само поробване, само обида или само убийство </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 е грабеж, поробване, обида и убийство, взети заедно</w:t>
      </w:r>
      <w:r w:rsidRPr="0080270B">
        <w:rPr>
          <w:rFonts w:ascii="Times New Roman" w:hAnsi="Times New Roman" w:cs="Times New Roman"/>
          <w:color w:val="auto"/>
          <w:sz w:val="24"/>
          <w:szCs w:val="24"/>
          <w:lang w:val="ru-RU"/>
        </w:rPr>
        <w:t>.</w:t>
      </w:r>
    </w:p>
    <w:p w:rsidR="004C4AA1" w:rsidRPr="0080270B" w:rsidRDefault="004C4AA1" w:rsidP="00543F35">
      <w:pPr>
        <w:pStyle w:val="BodyText21"/>
        <w:shd w:val="clear" w:color="auto" w:fill="auto"/>
        <w:spacing w:before="120" w:after="120" w:line="240" w:lineRule="auto"/>
        <w:ind w:left="720" w:right="2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Държавникът, който допринася за поставянето на правосъдието отвъд възможностите на хората, финансистът, който предлага закон за такъв данък върху правото,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е помагач на всяко престъпно деяние, всеки злодей може да го назове брат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всеки злосторник може да се похвали, че го има за свой съучастник</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5"/>
      </w:r>
    </w:p>
    <w:p w:rsidR="004C4AA1" w:rsidRPr="0080270B" w:rsidRDefault="004C4AA1" w:rsidP="008B7A45">
      <w:pPr>
        <w:pStyle w:val="BodyText21"/>
        <w:numPr>
          <w:ilvl w:val="0"/>
          <w:numId w:val="1"/>
        </w:numPr>
        <w:shd w:val="clear" w:color="auto" w:fill="auto"/>
        <w:tabs>
          <w:tab w:val="left" w:pos="380"/>
        </w:tabs>
        <w:spacing w:before="120" w:after="120" w:line="240" w:lineRule="auto"/>
        <w:ind w:left="38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Въпреки че принципът на налагане на такси е широко обсъждан през целия деветнадесети век в резултат от острата и влиятелна критика на тази практика от страна на Бентам</w:t>
      </w:r>
      <w:r w:rsidRPr="00F172D2">
        <w:rPr>
          <w:rFonts w:ascii="Times New Roman" w:hAnsi="Times New Roman"/>
          <w:color w:val="auto"/>
          <w:sz w:val="24"/>
          <w:lang w:val="bg-BG"/>
        </w:rPr>
        <w:t>,</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налагането на такси като начин за поемане на разходите за осигуряването на системата на правосъдие се е превърнало в толкова трайно установена система, че би било безплодно да я поставяме под въпрос</w:t>
      </w:r>
      <w:r w:rsidRPr="0080270B">
        <w:rPr>
          <w:rFonts w:ascii="Times New Roman" w:hAnsi="Times New Roman" w:cs="Times New Roman"/>
          <w:color w:val="auto"/>
          <w:sz w:val="24"/>
          <w:szCs w:val="24"/>
          <w:lang w:val="ru-RU"/>
        </w:rPr>
        <w:t xml:space="preserve">. </w:t>
      </w:r>
    </w:p>
    <w:p w:rsidR="004C4AA1" w:rsidRPr="0080270B" w:rsidRDefault="004C4AA1" w:rsidP="004F2E36">
      <w:pPr>
        <w:pStyle w:val="BodyText21"/>
        <w:shd w:val="clear" w:color="auto" w:fill="auto"/>
        <w:tabs>
          <w:tab w:val="left" w:pos="380"/>
        </w:tabs>
        <w:spacing w:before="120" w:after="120" w:line="240" w:lineRule="auto"/>
        <w:ind w:left="380" w:right="2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Въпреки това принципът, установен в клауза </w:t>
      </w:r>
      <w:r w:rsidRPr="0080270B">
        <w:rPr>
          <w:rFonts w:ascii="Times New Roman" w:hAnsi="Times New Roman" w:cs="Times New Roman"/>
          <w:color w:val="auto"/>
          <w:sz w:val="24"/>
          <w:szCs w:val="24"/>
          <w:lang w:val="ru-RU"/>
        </w:rPr>
        <w:t xml:space="preserve">40, </w:t>
      </w:r>
      <w:r w:rsidRPr="00F172D2">
        <w:rPr>
          <w:rFonts w:ascii="Times New Roman" w:hAnsi="Times New Roman" w:cs="Times New Roman"/>
          <w:color w:val="auto"/>
          <w:sz w:val="24"/>
          <w:szCs w:val="24"/>
          <w:lang w:val="bg-BG"/>
        </w:rPr>
        <w:t>никога не бива да бъде забравян. На последна</w:t>
      </w:r>
      <w:r>
        <w:rPr>
          <w:rFonts w:ascii="Times New Roman" w:hAnsi="Times New Roman" w:cs="Times New Roman"/>
          <w:color w:val="auto"/>
          <w:sz w:val="24"/>
          <w:szCs w:val="24"/>
          <w:lang w:val="bg-BG"/>
        </w:rPr>
        <w:t>та важна годишнина на Магна Харта</w:t>
      </w:r>
      <w:r w:rsidRPr="00F172D2">
        <w:rPr>
          <w:rFonts w:ascii="Times New Roman" w:hAnsi="Times New Roman" w:cs="Times New Roman"/>
          <w:color w:val="auto"/>
          <w:sz w:val="24"/>
          <w:szCs w:val="24"/>
          <w:lang w:val="bg-BG"/>
        </w:rPr>
        <w:t xml:space="preserve"> – </w:t>
      </w:r>
      <w:r w:rsidRPr="0080270B">
        <w:rPr>
          <w:rFonts w:ascii="Times New Roman" w:hAnsi="Times New Roman" w:cs="Times New Roman"/>
          <w:color w:val="auto"/>
          <w:sz w:val="24"/>
          <w:szCs w:val="24"/>
          <w:lang w:val="ru-RU"/>
        </w:rPr>
        <w:t xml:space="preserve">750-та </w:t>
      </w:r>
      <w:r w:rsidRPr="00F172D2">
        <w:rPr>
          <w:rFonts w:ascii="Times New Roman" w:hAnsi="Times New Roman" w:cs="Times New Roman"/>
          <w:color w:val="auto"/>
          <w:sz w:val="24"/>
          <w:szCs w:val="24"/>
          <w:lang w:val="bg-BG"/>
        </w:rPr>
        <w:t>през</w:t>
      </w:r>
      <w:r w:rsidRPr="0080270B">
        <w:rPr>
          <w:rFonts w:ascii="Times New Roman" w:hAnsi="Times New Roman" w:cs="Times New Roman"/>
          <w:color w:val="auto"/>
          <w:sz w:val="24"/>
          <w:szCs w:val="24"/>
          <w:lang w:val="ru-RU"/>
        </w:rPr>
        <w:t xml:space="preserve"> 1965</w:t>
      </w:r>
      <w:r w:rsidRPr="00F172D2">
        <w:rPr>
          <w:rFonts w:ascii="Times New Roman" w:hAnsi="Times New Roman" w:cs="Times New Roman"/>
          <w:color w:val="auto"/>
          <w:sz w:val="24"/>
          <w:szCs w:val="24"/>
          <w:lang w:val="bg-BG"/>
        </w:rPr>
        <w:t xml:space="preserve"> г.</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тогавашният Лорд Канцлер се позова на нея в кореспонденцията с Министерството на финансите, за да смекчи предложението за повишаване на таксите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 заключението на свое писмо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той просто отбелязва</w:t>
      </w:r>
      <w:r w:rsidRPr="0080270B">
        <w:rPr>
          <w:rFonts w:ascii="Times New Roman" w:hAnsi="Times New Roman" w:cs="Times New Roman"/>
          <w:color w:val="auto"/>
          <w:sz w:val="24"/>
          <w:szCs w:val="24"/>
          <w:lang w:val="ru-RU"/>
        </w:rPr>
        <w:t>:</w:t>
      </w:r>
    </w:p>
    <w:p w:rsidR="004C4AA1" w:rsidRPr="0080270B" w:rsidRDefault="004C4AA1" w:rsidP="00543F35">
      <w:pPr>
        <w:pStyle w:val="BodyText21"/>
        <w:shd w:val="clear" w:color="auto" w:fill="auto"/>
        <w:spacing w:before="120" w:after="120" w:line="240" w:lineRule="auto"/>
        <w:ind w:left="720" w:right="4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“Магна Харта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чиято </w:t>
      </w:r>
      <w:r w:rsidRPr="0080270B">
        <w:rPr>
          <w:rFonts w:ascii="Times New Roman" w:hAnsi="Times New Roman" w:cs="Times New Roman"/>
          <w:color w:val="auto"/>
          <w:sz w:val="24"/>
          <w:szCs w:val="24"/>
          <w:lang w:val="ru-RU"/>
        </w:rPr>
        <w:t>750</w:t>
      </w:r>
      <w:r w:rsidRPr="00F172D2">
        <w:rPr>
          <w:rFonts w:ascii="Times New Roman" w:hAnsi="Times New Roman" w:cs="Times New Roman"/>
          <w:color w:val="auto"/>
          <w:sz w:val="24"/>
          <w:szCs w:val="24"/>
          <w:vertAlign w:val="superscript"/>
          <w:lang w:val="bg-BG"/>
        </w:rPr>
        <w:t>-т</w:t>
      </w:r>
      <w:r w:rsidRPr="0080270B">
        <w:rPr>
          <w:rFonts w:ascii="Times New Roman" w:hAnsi="Times New Roman" w:cs="Times New Roman"/>
          <w:color w:val="auto"/>
          <w:sz w:val="24"/>
          <w:szCs w:val="24"/>
          <w:vertAlign w:val="superscript"/>
          <w:lang w:val="ru-RU"/>
        </w:rPr>
        <w:t>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годишнина предстои да отпразнуваме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предвижда, че ние няма да продаваме правосъдие на хората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Мисля, че в това отношение принципът на Магна Харта трябва да продължи да бъде спазван</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6"/>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94"/>
        </w:tabs>
        <w:spacing w:before="120" w:after="120" w:line="240" w:lineRule="auto"/>
        <w:ind w:left="38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По принцип клауза</w:t>
      </w:r>
      <w:r w:rsidRPr="0080270B">
        <w:rPr>
          <w:rFonts w:ascii="Times New Roman" w:hAnsi="Times New Roman" w:cs="Times New Roman"/>
          <w:color w:val="auto"/>
          <w:sz w:val="24"/>
          <w:szCs w:val="24"/>
          <w:lang w:val="ru-RU"/>
        </w:rPr>
        <w:t xml:space="preserve"> 40 </w:t>
      </w:r>
      <w:r w:rsidRPr="00F172D2">
        <w:rPr>
          <w:rFonts w:ascii="Times New Roman" w:hAnsi="Times New Roman" w:cs="Times New Roman"/>
          <w:color w:val="auto"/>
          <w:sz w:val="24"/>
          <w:szCs w:val="24"/>
          <w:lang w:val="bg-BG"/>
        </w:rPr>
        <w:t>е тълкувана в смисъл, че</w:t>
      </w:r>
      <w:r w:rsidRPr="0080270B">
        <w:rPr>
          <w:rFonts w:ascii="Times New Roman" w:hAnsi="Times New Roman"/>
          <w:color w:val="auto"/>
          <w:sz w:val="24"/>
          <w:lang w:val="ru-RU"/>
        </w:rPr>
        <w:t xml:space="preserve"> </w:t>
      </w:r>
      <w:r w:rsidRPr="00F172D2">
        <w:rPr>
          <w:rFonts w:ascii="Times New Roman" w:hAnsi="Times New Roman" w:cs="Times New Roman"/>
          <w:color w:val="auto"/>
          <w:sz w:val="24"/>
          <w:szCs w:val="24"/>
          <w:lang w:val="bg-BG"/>
        </w:rPr>
        <w:t>разрешава налагането на такси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при условие че размерът им не пречи и не възпрепятства достъпа до 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Така че проблемът, който се дискутира, е свързан с балансирането на размера, който трябва да се финансира от общите данъчни приходи </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поради задължението на държавата да осигурява достъпа до правосъдие и нейния интерес да гарантира ефективна правосъдна система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 разумното ниво на таксуване на едно лице, което се обръща към съдилищата. Въпреки това остротата на въпроса понякога е маскирана чрез налагането на такси за чисто формални съдебни процедури, които обаче много хора се налага да използват. Класическият пример са наследствените такси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които, когато данъкът върху наследството беше висок, имаха малко значение за администрирането на наследствената маса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но представляваха добър източник на приходи, който издържаше съдебната власт на Англия и Уелс за много десетилетия</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80"/>
        </w:tabs>
        <w:spacing w:before="120" w:after="120" w:line="240" w:lineRule="auto"/>
        <w:ind w:left="38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Въпреки това много по-добрата прозрачност на държавните отчети и тенденцията достъпът до правосъдие да бъде третиран просто като поредната публична услуга</w:t>
      </w:r>
      <w:r w:rsidRPr="0080270B">
        <w:rPr>
          <w:rFonts w:ascii="Times New Roman" w:hAnsi="Times New Roman" w:cs="Times New Roman"/>
          <w:color w:val="auto"/>
          <w:sz w:val="24"/>
          <w:szCs w:val="24"/>
          <w:lang w:val="ru-RU"/>
        </w:rPr>
        <w:t xml:space="preserve">, която се </w:t>
      </w:r>
      <w:r w:rsidRPr="00F172D2">
        <w:rPr>
          <w:rFonts w:ascii="Times New Roman" w:hAnsi="Times New Roman" w:cs="Times New Roman"/>
          <w:color w:val="auto"/>
          <w:sz w:val="24"/>
          <w:szCs w:val="24"/>
          <w:lang w:val="bg-BG"/>
        </w:rPr>
        <w:t>съчетава с нарастващия натиск върху публичните финанси</w:t>
      </w:r>
      <w:r w:rsidRPr="0080270B">
        <w:rPr>
          <w:rFonts w:ascii="Times New Roman" w:hAnsi="Times New Roman" w:cs="Times New Roman"/>
          <w:color w:val="auto"/>
          <w:sz w:val="24"/>
          <w:szCs w:val="24"/>
          <w:lang w:val="ru-RU"/>
        </w:rPr>
        <w:t xml:space="preserve">, силно </w:t>
      </w:r>
      <w:r w:rsidRPr="00F172D2">
        <w:rPr>
          <w:rFonts w:ascii="Times New Roman" w:hAnsi="Times New Roman" w:cs="Times New Roman"/>
          <w:color w:val="auto"/>
          <w:sz w:val="24"/>
          <w:szCs w:val="24"/>
          <w:lang w:val="bg-BG"/>
        </w:rPr>
        <w:t>усложнява опита да се постигне баланс</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В Англия и Уелс сме свидетели на значително повишаване на съдебните такси и на въвеждането на задължителни </w:t>
      </w:r>
      <w:r w:rsidRPr="00F172D2">
        <w:rPr>
          <w:rFonts w:ascii="Times New Roman" w:hAnsi="Times New Roman" w:cs="Times New Roman"/>
          <w:color w:val="auto"/>
          <w:sz w:val="24"/>
          <w:szCs w:val="24"/>
          <w:lang w:val="bg-BG"/>
        </w:rPr>
        <w:lastRenderedPageBreak/>
        <w:t xml:space="preserve">такси през април на тази година, които се заплащат от осъдените за престъпления лица </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независимо дали въз основа на съдебно споразумение или присъда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Докато съдебната власт приема, че в съвременните времена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допустими и в съответствие с разпоредбите на Магна Харта са скромни такси за граждански, семейни 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трибунални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дела и изразява категорична позиция относно нивото на таксите,</w:t>
      </w:r>
      <w:r w:rsidRPr="0080270B">
        <w:rPr>
          <w:rFonts w:ascii="Times New Roman" w:hAnsi="Times New Roman" w:cs="Times New Roman"/>
          <w:color w:val="auto"/>
          <w:sz w:val="24"/>
          <w:szCs w:val="24"/>
          <w:lang w:val="ru-RU"/>
        </w:rPr>
        <w:t xml:space="preserve"> </w:t>
      </w:r>
      <w:r w:rsidRPr="00F172D2">
        <w:rPr>
          <w:rFonts w:ascii="Times New Roman" w:hAnsi="Times New Roman"/>
          <w:color w:val="auto"/>
          <w:sz w:val="24"/>
          <w:lang w:val="bg-BG"/>
        </w:rPr>
        <w:t xml:space="preserve"> </w:t>
      </w:r>
      <w:r w:rsidRPr="00F172D2">
        <w:rPr>
          <w:rFonts w:ascii="Times New Roman" w:hAnsi="Times New Roman" w:cs="Times New Roman"/>
          <w:color w:val="auto"/>
          <w:sz w:val="24"/>
          <w:szCs w:val="24"/>
          <w:lang w:val="bg-BG"/>
        </w:rPr>
        <w:t>то намирането на баланса е оставено в ръцете на Парламента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6"/>
        </w:tabs>
        <w:spacing w:before="120" w:after="120" w:line="240" w:lineRule="auto"/>
        <w:ind w:left="38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Въпреки това нивото на съдебните такси, взето заедно с разноските за правна помощ, поставя достъпа до правосъдие отвъд възможностите на повечето хора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застрашавайки основния принцип на Магна Харта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Това е нещо, което съдебната власт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работейки заедно с изпълнителната и законодателната власт, трябва да разреши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Цялостното реформиране на управлението на правосъдието е един от начините за преодоляване на тези предизвикателства</w:t>
      </w:r>
      <w:r w:rsidRPr="0080270B">
        <w:rPr>
          <w:rFonts w:ascii="Times New Roman" w:hAnsi="Times New Roman" w:cs="Times New Roman"/>
          <w:color w:val="auto"/>
          <w:sz w:val="24"/>
          <w:szCs w:val="24"/>
          <w:lang w:val="ru-RU"/>
        </w:rPr>
        <w:t xml:space="preserve"> – </w:t>
      </w:r>
      <w:r w:rsidRPr="00F172D2">
        <w:rPr>
          <w:rFonts w:ascii="Times New Roman" w:hAnsi="Times New Roman" w:cs="Times New Roman"/>
          <w:color w:val="auto"/>
          <w:sz w:val="24"/>
          <w:szCs w:val="24"/>
          <w:lang w:val="bg-BG"/>
        </w:rPr>
        <w:t>тема, към която ще се върна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1"/>
        </w:tabs>
        <w:spacing w:before="120" w:after="120" w:line="240" w:lineRule="auto"/>
        <w:ind w:left="38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Това опасение за достъпа до правосъдие също ни води до следващия проблем –</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частното правосъдие, в което някои виждат възможната алтернатива на държавното правораздаване чрез съдилищата</w:t>
      </w:r>
      <w:r w:rsidRPr="0080270B">
        <w:rPr>
          <w:rFonts w:ascii="Times New Roman" w:hAnsi="Times New Roman" w:cs="Times New Roman"/>
          <w:color w:val="auto"/>
          <w:sz w:val="24"/>
          <w:szCs w:val="24"/>
          <w:lang w:val="ru-RU"/>
        </w:rPr>
        <w:t>.</w:t>
      </w:r>
    </w:p>
    <w:p w:rsidR="004C4AA1" w:rsidRPr="00F172D2" w:rsidRDefault="004C4AA1" w:rsidP="00543F35">
      <w:pPr>
        <w:pStyle w:val="Heading20"/>
        <w:shd w:val="clear" w:color="auto" w:fill="auto"/>
        <w:spacing w:before="120" w:after="120" w:line="240" w:lineRule="auto"/>
        <w:ind w:left="380"/>
        <w:rPr>
          <w:rFonts w:ascii="Times New Roman" w:hAnsi="Times New Roman" w:cs="Times New Roman"/>
          <w:color w:val="auto"/>
        </w:rPr>
      </w:pPr>
      <w:bookmarkStart w:id="0" w:name="bookmark1"/>
      <w:r w:rsidRPr="00F172D2">
        <w:rPr>
          <w:rFonts w:ascii="Times New Roman" w:hAnsi="Times New Roman" w:cs="Times New Roman"/>
          <w:color w:val="auto"/>
          <w:lang w:val="bg-BG"/>
        </w:rPr>
        <w:t>Подходящият обхват на частното правосъдие</w:t>
      </w:r>
      <w:bookmarkEnd w:id="0"/>
    </w:p>
    <w:p w:rsidR="004C4AA1" w:rsidRPr="00F172D2" w:rsidRDefault="004C4AA1" w:rsidP="00543F35">
      <w:pPr>
        <w:pStyle w:val="BodyText21"/>
        <w:numPr>
          <w:ilvl w:val="0"/>
          <w:numId w:val="1"/>
        </w:numPr>
        <w:shd w:val="clear" w:color="auto" w:fill="auto"/>
        <w:tabs>
          <w:tab w:val="left" w:pos="442"/>
        </w:tabs>
        <w:spacing w:before="120" w:after="120" w:line="240" w:lineRule="auto"/>
        <w:ind w:left="380" w:right="40" w:hanging="360"/>
        <w:rPr>
          <w:rFonts w:ascii="Times New Roman" w:hAnsi="Times New Roman" w:cs="Times New Roman"/>
          <w:color w:val="auto"/>
          <w:sz w:val="24"/>
          <w:szCs w:val="24"/>
        </w:rPr>
      </w:pPr>
      <w:r w:rsidRPr="00F172D2">
        <w:rPr>
          <w:rFonts w:ascii="Times New Roman" w:hAnsi="Times New Roman" w:cs="Times New Roman"/>
          <w:color w:val="auto"/>
          <w:sz w:val="24"/>
          <w:szCs w:val="24"/>
          <w:lang w:val="bg-BG"/>
        </w:rPr>
        <w:t>Първо ще се върна към Магна Харта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Държавата винаги е позволявала в известна степен частното 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но винаги е било ясно, че има жизненоважен интерес в разрешаването на спорове</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Например клауза </w:t>
      </w:r>
      <w:r w:rsidRPr="00F172D2">
        <w:rPr>
          <w:rFonts w:ascii="Times New Roman" w:hAnsi="Times New Roman" w:cs="Times New Roman"/>
          <w:color w:val="auto"/>
          <w:sz w:val="24"/>
          <w:szCs w:val="24"/>
        </w:rPr>
        <w:t>24</w:t>
      </w:r>
      <w:r w:rsidRPr="00F172D2">
        <w:rPr>
          <w:rFonts w:ascii="Times New Roman" w:hAnsi="Times New Roman" w:cs="Times New Roman"/>
          <w:color w:val="auto"/>
          <w:sz w:val="24"/>
          <w:szCs w:val="24"/>
          <w:lang w:val="bg-BG"/>
        </w:rPr>
        <w:t xml:space="preserve"> гласи</w:t>
      </w:r>
      <w:r w:rsidRPr="00F172D2">
        <w:rPr>
          <w:rFonts w:ascii="Times New Roman" w:hAnsi="Times New Roman" w:cs="Times New Roman"/>
          <w:color w:val="auto"/>
          <w:sz w:val="24"/>
          <w:szCs w:val="24"/>
        </w:rPr>
        <w:t>:</w:t>
      </w:r>
    </w:p>
    <w:p w:rsidR="004C4AA1" w:rsidRPr="0080270B" w:rsidRDefault="004C4AA1" w:rsidP="00543F35">
      <w:pPr>
        <w:pStyle w:val="BodyText21"/>
        <w:shd w:val="clear" w:color="auto" w:fill="auto"/>
        <w:spacing w:before="120" w:after="120" w:line="240" w:lineRule="auto"/>
        <w:ind w:left="720" w:right="4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Никой шериф, управител, съдебно лице или друг от нашите съдебни пристави не може да разглежда искове, принадлежащи на Короната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1"/>
        </w:tabs>
        <w:spacing w:before="120" w:after="120" w:line="240" w:lineRule="auto"/>
        <w:ind w:left="38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 </w:t>
      </w:r>
      <w:r w:rsidRPr="0080270B">
        <w:rPr>
          <w:rFonts w:ascii="Times New Roman" w:hAnsi="Times New Roman" w:cs="Times New Roman"/>
          <w:color w:val="auto"/>
          <w:sz w:val="24"/>
          <w:szCs w:val="24"/>
          <w:lang w:val="bg-BG"/>
        </w:rPr>
        <w:t>Тази клауза засяга защитата на интереса на Короната в разглеждането на дела за сериозни престъпления и запазването на тези въпроси за самата нея</w:t>
      </w:r>
      <w:r w:rsidRPr="0080270B">
        <w:rPr>
          <w:rFonts w:ascii="Times New Roman" w:hAnsi="Times New Roman" w:cs="Times New Roman"/>
          <w:color w:val="auto"/>
          <w:sz w:val="24"/>
          <w:szCs w:val="24"/>
          <w:lang w:val="ru-RU"/>
        </w:rPr>
        <w:t xml:space="preserve">, </w:t>
      </w:r>
      <w:r w:rsidRPr="0080270B">
        <w:rPr>
          <w:rFonts w:ascii="Times New Roman" w:hAnsi="Times New Roman" w:cs="Times New Roman"/>
          <w:color w:val="auto"/>
          <w:sz w:val="24"/>
          <w:szCs w:val="24"/>
          <w:lang w:val="bg-BG"/>
        </w:rPr>
        <w:t>вместо да  преотстъпи решаването им на местните барони – реална форма на некралско или частно правосъдие</w:t>
      </w:r>
      <w:r w:rsidRPr="0080270B">
        <w:rPr>
          <w:rFonts w:ascii="Times New Roman" w:hAnsi="Times New Roman" w:cs="Times New Roman"/>
          <w:color w:val="auto"/>
          <w:sz w:val="24"/>
          <w:szCs w:val="24"/>
          <w:lang w:val="ru-RU"/>
        </w:rPr>
        <w:t xml:space="preserve">. </w:t>
      </w:r>
      <w:r w:rsidRPr="0080270B">
        <w:rPr>
          <w:rFonts w:ascii="Times New Roman" w:hAnsi="Times New Roman" w:cs="Times New Roman"/>
          <w:color w:val="auto"/>
          <w:sz w:val="24"/>
          <w:szCs w:val="24"/>
          <w:lang w:val="bg-BG"/>
        </w:rPr>
        <w:t>Въпреки че естеството на държавния интерес при разрешаването на спорове се е променило във времето</w:t>
      </w:r>
      <w:r>
        <w:rPr>
          <w:rFonts w:ascii="Times New Roman" w:hAnsi="Times New Roman" w:cs="Times New Roman"/>
          <w:color w:val="auto"/>
          <w:sz w:val="24"/>
          <w:szCs w:val="24"/>
          <w:lang w:val="ru-RU"/>
        </w:rPr>
        <w:t>,</w:t>
      </w:r>
      <w:r w:rsidRPr="0080270B">
        <w:rPr>
          <w:rFonts w:ascii="Times New Roman" w:hAnsi="Times New Roman" w:cs="Times New Roman"/>
          <w:color w:val="auto"/>
          <w:sz w:val="24"/>
          <w:szCs w:val="24"/>
          <w:lang w:val="bg-BG"/>
        </w:rPr>
        <w:t xml:space="preserve"> държавн</w:t>
      </w:r>
      <w:r>
        <w:rPr>
          <w:rFonts w:ascii="Times New Roman" w:hAnsi="Times New Roman" w:cs="Times New Roman"/>
          <w:color w:val="auto"/>
          <w:sz w:val="24"/>
          <w:szCs w:val="24"/>
          <w:lang w:val="bg-BG"/>
        </w:rPr>
        <w:t>ият</w:t>
      </w:r>
      <w:r w:rsidRPr="0080270B">
        <w:rPr>
          <w:rFonts w:ascii="Times New Roman" w:hAnsi="Times New Roman" w:cs="Times New Roman"/>
          <w:color w:val="auto"/>
          <w:sz w:val="24"/>
          <w:szCs w:val="24"/>
          <w:lang w:val="bg-BG"/>
        </w:rPr>
        <w:t xml:space="preserve"> интерес трябва запази централното си значение.</w:t>
      </w:r>
    </w:p>
    <w:p w:rsidR="004C4AA1" w:rsidRPr="0080270B" w:rsidRDefault="004C4AA1" w:rsidP="00543F35">
      <w:pPr>
        <w:pStyle w:val="BodyText21"/>
        <w:numPr>
          <w:ilvl w:val="0"/>
          <w:numId w:val="1"/>
        </w:numPr>
        <w:shd w:val="clear" w:color="auto" w:fill="auto"/>
        <w:tabs>
          <w:tab w:val="left" w:pos="375"/>
        </w:tabs>
        <w:spacing w:before="120" w:after="120" w:line="240" w:lineRule="auto"/>
        <w:ind w:left="38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През вековете съдилищата и парламентът са разбрали, че има много добри причини споровете да се разрешават по път, различен от този на държавната правосъдна система</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Например при арбитража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отдавана е прието, че ролята на съдилищата, когато страните са</w:t>
      </w:r>
      <w:r>
        <w:rPr>
          <w:rFonts w:ascii="Times New Roman" w:hAnsi="Times New Roman" w:cs="Times New Roman"/>
          <w:color w:val="auto"/>
          <w:sz w:val="24"/>
          <w:szCs w:val="24"/>
          <w:lang w:val="bg-BG"/>
        </w:rPr>
        <w:t xml:space="preserve"> се</w:t>
      </w:r>
      <w:r w:rsidRPr="00F172D2">
        <w:rPr>
          <w:rFonts w:ascii="Times New Roman" w:hAnsi="Times New Roman" w:cs="Times New Roman"/>
          <w:color w:val="auto"/>
          <w:sz w:val="24"/>
          <w:szCs w:val="24"/>
          <w:lang w:val="bg-BG"/>
        </w:rPr>
        <w:t xml:space="preserve"> съгласили да прибягнат до арбитраж,  може да бъде ограничена до изясняване на правото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 осигуряване на изпълнението на арбитражните решения</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 по-скорошни времена частното предлагане на алтернативни способи за разрешаване на спорове (АСРС) (</w:t>
      </w:r>
      <w:r w:rsidRPr="00F172D2">
        <w:rPr>
          <w:rFonts w:ascii="Times New Roman" w:hAnsi="Times New Roman" w:cs="Times New Roman"/>
          <w:color w:val="auto"/>
          <w:sz w:val="24"/>
          <w:szCs w:val="24"/>
        </w:rPr>
        <w:t>alternative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dispute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resolution</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ADR</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отново е окуражавано като средство за частно разрешаване на спорове – там, където съдебният процес е твърде скъп или неуместен</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85"/>
        </w:tabs>
        <w:spacing w:before="120" w:after="120" w:line="240" w:lineRule="auto"/>
        <w:ind w:left="38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Още по-наскоро програмите за омбудсмани за различни икономически сектори придобиха популярност като още един начин за частно разрешаване на спорове</w:t>
      </w:r>
      <w:r w:rsidRPr="0080270B">
        <w:rPr>
          <w:rFonts w:ascii="Times New Roman" w:hAnsi="Times New Roman" w:cs="Times New Roman"/>
          <w:color w:val="auto"/>
          <w:sz w:val="24"/>
          <w:szCs w:val="24"/>
          <w:lang w:val="ru-RU"/>
        </w:rPr>
        <w:t xml:space="preserve"> и </w:t>
      </w:r>
      <w:r w:rsidRPr="00F172D2">
        <w:rPr>
          <w:rFonts w:ascii="Times New Roman" w:hAnsi="Times New Roman" w:cs="Times New Roman"/>
          <w:color w:val="auto"/>
          <w:sz w:val="24"/>
          <w:szCs w:val="24"/>
          <w:lang w:val="bg-BG"/>
        </w:rPr>
        <w:t>като алтернатива на арбитража 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АСРС</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 Обединеното кралство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най-развитата програма е тази за секторите на финансовите и застрахователните услуги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Тази програма е изцяло безплатна за клиента-потребител</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 успешно разглежда огромен брой жалби, произтичащи от отделни спорове или значителни системни нарушения в сектора. Нейната дейност е независима и решенията й са обвързващи за бизнеса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но не и за потребителя, който, ако не е удовлетворен</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е свободен да се обърне към съда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70"/>
        </w:tabs>
        <w:spacing w:before="120" w:after="120" w:line="240" w:lineRule="auto"/>
        <w:ind w:left="38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lastRenderedPageBreak/>
        <w:t>Посочвам тази програма като пример, защото е толкова успешна и подкрепена от изрична законодателна уредба</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7"/>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Нейният успех подсказва, че програмите за омбудсмани за различните бизнес сектори могат да предложат надеждна алтернатива на съдилищата като вид достъп до 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Някои дори предлагат изпълнението на тези решения да не става посредством съдилищата</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а или чрез секторни споразумения, или чрез използването на правомощията, които регулаторите имат в даден сектор</w:t>
      </w:r>
      <w:r w:rsidRPr="0080270B">
        <w:rPr>
          <w:rFonts w:ascii="Times New Roman" w:hAnsi="Times New Roman" w:cs="Times New Roman"/>
          <w:color w:val="auto"/>
          <w:sz w:val="24"/>
          <w:szCs w:val="24"/>
          <w:lang w:val="ru-RU"/>
        </w:rPr>
        <w:t>.</w:t>
      </w:r>
    </w:p>
    <w:p w:rsidR="004C4AA1" w:rsidRPr="00F172D2" w:rsidRDefault="004C4AA1" w:rsidP="006C4704">
      <w:pPr>
        <w:pStyle w:val="BodyText21"/>
        <w:numPr>
          <w:ilvl w:val="0"/>
          <w:numId w:val="1"/>
        </w:numPr>
        <w:shd w:val="clear" w:color="auto" w:fill="auto"/>
        <w:tabs>
          <w:tab w:val="left" w:pos="426"/>
        </w:tabs>
        <w:spacing w:before="120" w:after="120" w:line="240" w:lineRule="auto"/>
        <w:ind w:left="400" w:right="40" w:hanging="400"/>
        <w:rPr>
          <w:rFonts w:ascii="Times New Roman" w:hAnsi="Times New Roman" w:cs="Times New Roman"/>
          <w:color w:val="auto"/>
          <w:sz w:val="24"/>
          <w:szCs w:val="24"/>
        </w:rPr>
      </w:pPr>
      <w:r w:rsidRPr="00F172D2">
        <w:rPr>
          <w:rFonts w:ascii="Times New Roman" w:hAnsi="Times New Roman" w:cs="Times New Roman"/>
          <w:color w:val="auto"/>
          <w:sz w:val="24"/>
          <w:szCs w:val="24"/>
          <w:lang w:val="bg-BG"/>
        </w:rPr>
        <w:t>Въпреки това съществуват сериозни въпроси за това, дали опитът да се предостави достъп до правосъдие чрез такива средства е наистина алтернатива на държавното правораздаване чрез или под надзора на държавните съдилища и трибунали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Ще посоча като пример четири такива</w:t>
      </w:r>
      <w:r w:rsidRPr="00F172D2">
        <w:rPr>
          <w:rFonts w:ascii="Times New Roman" w:hAnsi="Times New Roman" w:cs="Times New Roman"/>
          <w:color w:val="auto"/>
          <w:sz w:val="24"/>
          <w:szCs w:val="24"/>
        </w:rPr>
        <w:t>:</w:t>
      </w:r>
    </w:p>
    <w:p w:rsidR="004C4AA1" w:rsidRPr="0080270B" w:rsidRDefault="004C4AA1" w:rsidP="00300642">
      <w:pPr>
        <w:pStyle w:val="BodyText21"/>
        <w:numPr>
          <w:ilvl w:val="0"/>
          <w:numId w:val="4"/>
        </w:numPr>
        <w:shd w:val="clear" w:color="auto" w:fill="auto"/>
        <w:tabs>
          <w:tab w:val="left" w:pos="993"/>
        </w:tabs>
        <w:spacing w:before="120" w:after="120" w:line="240" w:lineRule="auto"/>
        <w:ind w:left="993" w:right="40" w:hanging="52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По принцип производствата и процедурите пред регулаторните органи или омбудсмана не са публични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Основ</w:t>
      </w:r>
      <w:r>
        <w:rPr>
          <w:rFonts w:ascii="Times New Roman" w:hAnsi="Times New Roman" w:cs="Times New Roman"/>
          <w:color w:val="auto"/>
          <w:sz w:val="24"/>
          <w:szCs w:val="24"/>
          <w:lang w:val="bg-BG"/>
        </w:rPr>
        <w:t>на характеристика</w:t>
      </w:r>
      <w:r w:rsidRPr="00F172D2">
        <w:rPr>
          <w:rFonts w:ascii="Times New Roman" w:hAnsi="Times New Roman" w:cs="Times New Roman"/>
          <w:color w:val="auto"/>
          <w:sz w:val="24"/>
          <w:szCs w:val="24"/>
          <w:lang w:val="bg-BG"/>
        </w:rPr>
        <w:t xml:space="preserve"> на правос</w:t>
      </w:r>
      <w:r>
        <w:rPr>
          <w:rFonts w:ascii="Times New Roman" w:hAnsi="Times New Roman" w:cs="Times New Roman"/>
          <w:color w:val="auto"/>
          <w:sz w:val="24"/>
          <w:szCs w:val="24"/>
          <w:lang w:val="bg-BG"/>
        </w:rPr>
        <w:t>ъдието</w:t>
      </w:r>
      <w:r w:rsidRPr="00F172D2">
        <w:rPr>
          <w:rFonts w:ascii="Times New Roman" w:hAnsi="Times New Roman" w:cs="Times New Roman"/>
          <w:color w:val="auto"/>
          <w:sz w:val="24"/>
          <w:szCs w:val="24"/>
          <w:lang w:val="bg-BG"/>
        </w:rPr>
        <w:t xml:space="preserve"> е, че трябва да бъде прозрачно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освен ако не съществува достатъчно добра причина, то да се осъществя при закрити врата</w:t>
      </w:r>
      <w:r w:rsidRPr="0080270B">
        <w:rPr>
          <w:rFonts w:ascii="Times New Roman" w:hAnsi="Times New Roman" w:cs="Times New Roman"/>
          <w:color w:val="auto"/>
          <w:sz w:val="24"/>
          <w:szCs w:val="24"/>
          <w:lang w:val="ru-RU"/>
        </w:rPr>
        <w:t>.</w:t>
      </w:r>
    </w:p>
    <w:p w:rsidR="004C4AA1" w:rsidRPr="0080270B" w:rsidRDefault="004C4AA1" w:rsidP="00300642">
      <w:pPr>
        <w:pStyle w:val="BodyText21"/>
        <w:numPr>
          <w:ilvl w:val="0"/>
          <w:numId w:val="4"/>
        </w:numPr>
        <w:shd w:val="clear" w:color="auto" w:fill="auto"/>
        <w:tabs>
          <w:tab w:val="left" w:pos="993"/>
          <w:tab w:val="left" w:pos="1102"/>
        </w:tabs>
        <w:spacing w:before="120" w:after="120" w:line="240" w:lineRule="auto"/>
        <w:ind w:left="993" w:right="40" w:hanging="52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Развитието на правото изисква открито и публично постановяване на решение, което може да бъде преразгледано от апелативния съд в случай на обжалване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Наистина без това нашето право не би могло да се развива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Има становище, че развитието на някои аспекти на английското търговско право се препятстват от разпоредбите на Закона за арбитража 1996 (</w:t>
      </w:r>
      <w:r w:rsidRPr="00F172D2">
        <w:rPr>
          <w:rFonts w:ascii="Times New Roman" w:hAnsi="Times New Roman" w:cs="Times New Roman"/>
          <w:color w:val="auto"/>
          <w:sz w:val="24"/>
          <w:szCs w:val="24"/>
        </w:rPr>
        <w:t>Arbitration</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Act</w:t>
      </w:r>
      <w:r w:rsidRPr="0080270B">
        <w:rPr>
          <w:rFonts w:ascii="Times New Roman" w:hAnsi="Times New Roman" w:cs="Times New Roman"/>
          <w:color w:val="auto"/>
          <w:sz w:val="24"/>
          <w:szCs w:val="24"/>
          <w:lang w:val="ru-RU"/>
        </w:rPr>
        <w:t xml:space="preserve"> 1996</w:t>
      </w:r>
      <w:r w:rsidRPr="00F172D2">
        <w:rPr>
          <w:rFonts w:ascii="Times New Roman" w:hAnsi="Times New Roman" w:cs="Times New Roman"/>
          <w:color w:val="auto"/>
          <w:sz w:val="24"/>
          <w:szCs w:val="24"/>
          <w:lang w:val="bg-BG"/>
        </w:rPr>
        <w:t>), които позволяват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от момента на тяхното първоначално въвеждане през </w:t>
      </w:r>
      <w:r w:rsidRPr="0080270B">
        <w:rPr>
          <w:rFonts w:ascii="Times New Roman" w:hAnsi="Times New Roman" w:cs="Times New Roman"/>
          <w:color w:val="auto"/>
          <w:sz w:val="24"/>
          <w:szCs w:val="24"/>
          <w:lang w:val="ru-RU"/>
        </w:rPr>
        <w:t>1979</w:t>
      </w:r>
      <w:r w:rsidRPr="00F172D2">
        <w:rPr>
          <w:rFonts w:ascii="Times New Roman" w:hAnsi="Times New Roman" w:cs="Times New Roman"/>
          <w:color w:val="auto"/>
          <w:sz w:val="24"/>
          <w:szCs w:val="24"/>
          <w:lang w:val="bg-BG"/>
        </w:rPr>
        <w:t xml:space="preserve"> г.</w:t>
      </w:r>
      <w:r w:rsidRPr="0080270B">
        <w:rPr>
          <w:rFonts w:ascii="Times New Roman" w:hAnsi="Times New Roman" w:cs="Times New Roman"/>
          <w:color w:val="auto"/>
          <w:sz w:val="24"/>
          <w:szCs w:val="24"/>
          <w:lang w:val="ru-RU"/>
        </w:rPr>
        <w:t>,</w:t>
      </w:r>
      <w:r w:rsidRPr="00F172D2">
        <w:rPr>
          <w:rFonts w:ascii="Times New Roman" w:hAnsi="Times New Roman"/>
          <w:color w:val="auto"/>
          <w:sz w:val="24"/>
          <w:lang w:val="bg-BG"/>
        </w:rPr>
        <w:t xml:space="preserve"> </w:t>
      </w:r>
      <w:r w:rsidRPr="00F172D2">
        <w:rPr>
          <w:rFonts w:ascii="Times New Roman" w:hAnsi="Times New Roman" w:cs="Times New Roman"/>
          <w:color w:val="auto"/>
          <w:sz w:val="24"/>
          <w:szCs w:val="24"/>
          <w:lang w:val="bg-BG"/>
        </w:rPr>
        <w:t>споразумения за отказ от съдебен контрол, както и споразумения, които изключително стесняват правото на съдебно обжалване за случаите, в които не</w:t>
      </w:r>
      <w:r>
        <w:rPr>
          <w:rFonts w:ascii="Times New Roman" w:hAnsi="Times New Roman" w:cs="Times New Roman"/>
          <w:color w:val="auto"/>
          <w:sz w:val="24"/>
          <w:szCs w:val="24"/>
          <w:lang w:val="bg-BG"/>
        </w:rPr>
        <w:t xml:space="preserve"> е</w:t>
      </w:r>
      <w:r w:rsidRPr="00F172D2">
        <w:rPr>
          <w:rFonts w:ascii="Times New Roman" w:hAnsi="Times New Roman" w:cs="Times New Roman"/>
          <w:color w:val="auto"/>
          <w:sz w:val="24"/>
          <w:szCs w:val="24"/>
          <w:lang w:val="bg-BG"/>
        </w:rPr>
        <w:t xml:space="preserve"> имало отказ от съдебен контрол</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Това е опасност, която трябва да бъде взета предвид и по-генерално –  и занапред е необходимо да имаме дела за охлюви в бутилки от джинджифилова бира</w:t>
      </w:r>
      <w:r w:rsidRPr="0080270B">
        <w:rPr>
          <w:rFonts w:ascii="Times New Roman" w:hAnsi="Times New Roman" w:cs="Times New Roman"/>
          <w:color w:val="auto"/>
          <w:sz w:val="24"/>
          <w:szCs w:val="24"/>
          <w:lang w:val="ru-RU"/>
        </w:rPr>
        <w:t>.</w:t>
      </w:r>
    </w:p>
    <w:p w:rsidR="004C4AA1" w:rsidRPr="0080270B" w:rsidRDefault="004C4AA1" w:rsidP="00300642">
      <w:pPr>
        <w:pStyle w:val="BodyText21"/>
        <w:numPr>
          <w:ilvl w:val="0"/>
          <w:numId w:val="4"/>
        </w:numPr>
        <w:shd w:val="clear" w:color="auto" w:fill="auto"/>
        <w:tabs>
          <w:tab w:val="left" w:pos="993"/>
        </w:tabs>
        <w:spacing w:before="120" w:after="120" w:line="240" w:lineRule="auto"/>
        <w:ind w:left="993" w:right="40" w:hanging="52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Всяко надлежно разрешаване на спорове трябва да се извършва от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независим решаващ орган, който не е подложен на „превземане от индустрията“, а както знаем, превземането на регулаторите е един много познат феномен.</w:t>
      </w:r>
    </w:p>
    <w:p w:rsidR="004C4AA1" w:rsidRPr="00F172D2" w:rsidRDefault="004C4AA1" w:rsidP="00300642">
      <w:pPr>
        <w:pStyle w:val="BodyText21"/>
        <w:numPr>
          <w:ilvl w:val="0"/>
          <w:numId w:val="4"/>
        </w:numPr>
        <w:shd w:val="clear" w:color="auto" w:fill="auto"/>
        <w:tabs>
          <w:tab w:val="left" w:pos="993"/>
        </w:tabs>
        <w:spacing w:before="120" w:after="120" w:line="240" w:lineRule="auto"/>
        <w:ind w:left="993" w:right="40" w:hanging="520"/>
        <w:rPr>
          <w:rFonts w:ascii="Times New Roman" w:hAnsi="Times New Roman" w:cs="Times New Roman"/>
          <w:color w:val="auto"/>
          <w:sz w:val="24"/>
          <w:szCs w:val="24"/>
          <w:lang w:val="bg-BG"/>
        </w:rPr>
      </w:pPr>
      <w:r w:rsidRPr="00F172D2">
        <w:rPr>
          <w:rFonts w:ascii="Times New Roman" w:hAnsi="Times New Roman" w:cs="Times New Roman"/>
          <w:color w:val="auto"/>
          <w:sz w:val="24"/>
          <w:szCs w:val="24"/>
          <w:lang w:val="bg-BG"/>
        </w:rPr>
        <w:t>Без съдилища и трибунали и техните решения, които да разясняват и да развиват правото, всеки механизъм за разрешаване на правни спорове губи възможността да функционира. Такива системи зависят от „сянката на правото“</w:t>
      </w:r>
      <w:r w:rsidRPr="00F172D2">
        <w:rPr>
          <w:color w:val="auto"/>
        </w:rPr>
        <w:footnoteReference w:id="8"/>
      </w:r>
      <w:r w:rsidRPr="00F172D2">
        <w:rPr>
          <w:rFonts w:ascii="Times New Roman" w:hAnsi="Times New Roman" w:cs="Times New Roman"/>
          <w:color w:val="auto"/>
          <w:sz w:val="24"/>
          <w:szCs w:val="24"/>
          <w:lang w:val="bg-BG"/>
        </w:rPr>
        <w:t>, ако искаме от тях да функционират ефективно.</w:t>
      </w:r>
    </w:p>
    <w:p w:rsidR="004C4AA1" w:rsidRPr="0080270B" w:rsidRDefault="004C4AA1" w:rsidP="00543F35">
      <w:pPr>
        <w:pStyle w:val="BodyText21"/>
        <w:numPr>
          <w:ilvl w:val="0"/>
          <w:numId w:val="1"/>
        </w:numPr>
        <w:shd w:val="clear" w:color="auto" w:fill="auto"/>
        <w:tabs>
          <w:tab w:val="left" w:pos="355"/>
        </w:tabs>
        <w:spacing w:before="120" w:after="120" w:line="240" w:lineRule="auto"/>
        <w:ind w:left="360" w:right="20" w:hanging="360"/>
        <w:rPr>
          <w:rFonts w:ascii="Times New Roman" w:hAnsi="Times New Roman"/>
          <w:color w:val="auto"/>
          <w:sz w:val="24"/>
          <w:lang w:val="ru-RU"/>
        </w:rPr>
      </w:pPr>
      <w:r w:rsidRPr="005858FC">
        <w:rPr>
          <w:rFonts w:ascii="Times New Roman" w:hAnsi="Times New Roman" w:cs="Times New Roman"/>
          <w:color w:val="auto"/>
          <w:sz w:val="24"/>
          <w:szCs w:val="24"/>
          <w:lang w:val="bg-BG"/>
        </w:rPr>
        <w:t xml:space="preserve">Ето защо, въпреки че </w:t>
      </w:r>
      <w:r w:rsidRPr="005858FC">
        <w:rPr>
          <w:rFonts w:ascii="Times New Roman" w:hAnsi="Times New Roman"/>
          <w:color w:val="auto"/>
          <w:sz w:val="24"/>
          <w:lang w:val="bg-BG"/>
        </w:rPr>
        <w:t>трябва да бъдат приветствани</w:t>
      </w:r>
      <w:r w:rsidRPr="005858FC">
        <w:rPr>
          <w:rFonts w:ascii="Times New Roman" w:hAnsi="Times New Roman" w:cs="Times New Roman"/>
          <w:color w:val="auto"/>
          <w:sz w:val="24"/>
          <w:szCs w:val="24"/>
          <w:lang w:val="bg-BG"/>
        </w:rPr>
        <w:t xml:space="preserve"> мерките, които</w:t>
      </w:r>
      <w:r w:rsidRPr="0080270B">
        <w:rPr>
          <w:rFonts w:ascii="Times New Roman" w:hAnsi="Times New Roman" w:cs="Times New Roman"/>
          <w:color w:val="auto"/>
          <w:sz w:val="24"/>
          <w:szCs w:val="24"/>
          <w:lang w:val="ru-RU"/>
        </w:rPr>
        <w:t xml:space="preserve">, </w:t>
      </w:r>
      <w:r w:rsidRPr="005858FC">
        <w:rPr>
          <w:rFonts w:ascii="Times New Roman" w:hAnsi="Times New Roman"/>
          <w:color w:val="auto"/>
          <w:sz w:val="24"/>
          <w:lang w:val="bg-BG"/>
        </w:rPr>
        <w:t>с цел да бъдат избегнати излишни съдебни дела</w:t>
      </w:r>
      <w:r w:rsidRPr="0080270B">
        <w:rPr>
          <w:rFonts w:ascii="Times New Roman" w:hAnsi="Times New Roman"/>
          <w:color w:val="auto"/>
          <w:sz w:val="24"/>
          <w:lang w:val="ru-RU"/>
        </w:rPr>
        <w:t>,</w:t>
      </w:r>
      <w:r w:rsidRPr="005858FC">
        <w:rPr>
          <w:rFonts w:ascii="Times New Roman" w:hAnsi="Times New Roman" w:cs="Times New Roman"/>
          <w:color w:val="auto"/>
          <w:sz w:val="24"/>
          <w:szCs w:val="24"/>
          <w:lang w:val="bg-BG"/>
        </w:rPr>
        <w:t xml:space="preserve"> </w:t>
      </w:r>
      <w:r w:rsidRPr="005858FC">
        <w:rPr>
          <w:rFonts w:ascii="Times New Roman" w:hAnsi="Times New Roman"/>
          <w:color w:val="auto"/>
          <w:sz w:val="24"/>
          <w:lang w:val="bg-BG"/>
        </w:rPr>
        <w:t>насърчават постигането на компромис на мястото на възникналия спор,</w:t>
      </w:r>
      <w:r w:rsidRPr="0080270B">
        <w:rPr>
          <w:rFonts w:ascii="Times New Roman" w:hAnsi="Times New Roman"/>
          <w:color w:val="auto"/>
          <w:sz w:val="24"/>
          <w:lang w:val="ru-RU"/>
        </w:rPr>
        <w:t xml:space="preserve"> </w:t>
      </w:r>
      <w:r w:rsidRPr="005858FC">
        <w:rPr>
          <w:rFonts w:ascii="Times New Roman" w:hAnsi="Times New Roman"/>
          <w:color w:val="auto"/>
          <w:sz w:val="24"/>
          <w:lang w:val="bg-BG"/>
        </w:rPr>
        <w:t xml:space="preserve">принципите, изложени в Магна Харта, ясно изразяват публичния интерес от надлежно правораздаване </w:t>
      </w:r>
      <w:r>
        <w:rPr>
          <w:rFonts w:ascii="Times New Roman" w:hAnsi="Times New Roman"/>
          <w:color w:val="auto"/>
          <w:sz w:val="24"/>
          <w:lang w:val="bg-BG"/>
        </w:rPr>
        <w:t>от</w:t>
      </w:r>
      <w:r w:rsidRPr="005858FC">
        <w:rPr>
          <w:rFonts w:ascii="Times New Roman" w:hAnsi="Times New Roman"/>
          <w:color w:val="auto"/>
          <w:sz w:val="24"/>
          <w:lang w:val="bg-BG"/>
        </w:rPr>
        <w:t xml:space="preserve"> подходящ публичен съд</w:t>
      </w:r>
      <w:r w:rsidRPr="0080270B">
        <w:rPr>
          <w:rFonts w:ascii="Times New Roman" w:hAnsi="Times New Roman" w:cs="Times New Roman"/>
          <w:color w:val="auto"/>
          <w:sz w:val="24"/>
          <w:szCs w:val="24"/>
          <w:lang w:val="ru-RU"/>
        </w:rPr>
        <w:t xml:space="preserve">. </w:t>
      </w:r>
      <w:r w:rsidRPr="005858FC">
        <w:rPr>
          <w:rFonts w:ascii="Times New Roman" w:hAnsi="Times New Roman"/>
          <w:color w:val="auto"/>
          <w:sz w:val="24"/>
          <w:lang w:val="bg-BG"/>
        </w:rPr>
        <w:t>В съвременната епоха</w:t>
      </w:r>
      <w:r w:rsidRPr="0080270B">
        <w:rPr>
          <w:rFonts w:ascii="Times New Roman" w:hAnsi="Times New Roman"/>
          <w:color w:val="auto"/>
          <w:sz w:val="24"/>
          <w:lang w:val="ru-RU"/>
        </w:rPr>
        <w:t xml:space="preserve"> </w:t>
      </w:r>
      <w:r w:rsidRPr="005858FC">
        <w:rPr>
          <w:rFonts w:ascii="Times New Roman" w:hAnsi="Times New Roman"/>
          <w:color w:val="auto"/>
          <w:sz w:val="24"/>
          <w:lang w:val="bg-BG"/>
        </w:rPr>
        <w:t>това</w:t>
      </w:r>
      <w:r w:rsidRPr="005858FC">
        <w:rPr>
          <w:rFonts w:ascii="Times New Roman" w:hAnsi="Times New Roman" w:cs="Times New Roman"/>
          <w:color w:val="auto"/>
          <w:sz w:val="24"/>
          <w:szCs w:val="24"/>
          <w:lang w:val="bg-BG"/>
        </w:rPr>
        <w:t xml:space="preserve"> </w:t>
      </w:r>
      <w:r w:rsidRPr="005858FC">
        <w:rPr>
          <w:rFonts w:ascii="Times New Roman" w:hAnsi="Times New Roman"/>
          <w:color w:val="auto"/>
          <w:sz w:val="24"/>
          <w:lang w:val="bg-BG"/>
        </w:rPr>
        <w:t>означава ограничаването на частното правораздаване в рамките на неговия подходящ обхват и  поддържането на ролята на съдилищата и трибуналите в надзора върху всеки такъв вид правораздаване</w:t>
      </w:r>
      <w:r w:rsidRPr="0080270B">
        <w:rPr>
          <w:rFonts w:ascii="Times New Roman" w:hAnsi="Times New Roman"/>
          <w:color w:val="auto"/>
          <w:sz w:val="24"/>
          <w:lang w:val="ru-RU"/>
        </w:rPr>
        <w:t>.</w:t>
      </w:r>
    </w:p>
    <w:p w:rsidR="004C4AA1" w:rsidRPr="0080270B" w:rsidRDefault="004C4AA1" w:rsidP="00543F35">
      <w:pPr>
        <w:pStyle w:val="Heading20"/>
        <w:shd w:val="clear" w:color="auto" w:fill="auto"/>
        <w:spacing w:before="120" w:after="120" w:line="240" w:lineRule="auto"/>
        <w:ind w:right="20" w:firstLine="0"/>
        <w:rPr>
          <w:rFonts w:ascii="Times New Roman" w:hAnsi="Times New Roman" w:cs="Times New Roman"/>
          <w:color w:val="auto"/>
          <w:lang w:val="ru-RU"/>
        </w:rPr>
      </w:pPr>
      <w:bookmarkStart w:id="1" w:name="bookmark2"/>
      <w:r w:rsidRPr="00F172D2">
        <w:rPr>
          <w:rFonts w:ascii="Times New Roman" w:hAnsi="Times New Roman" w:cs="Times New Roman"/>
          <w:color w:val="auto"/>
          <w:lang w:val="bg-BG"/>
        </w:rPr>
        <w:t xml:space="preserve">Засилването на достъпа до правосъдието чрез използването на съвременни технологии за преустройство на </w:t>
      </w:r>
      <w:bookmarkEnd w:id="1"/>
      <w:r w:rsidRPr="00F172D2">
        <w:rPr>
          <w:rFonts w:ascii="Times New Roman" w:hAnsi="Times New Roman" w:cs="Times New Roman"/>
          <w:color w:val="auto"/>
          <w:lang w:val="bg-BG"/>
        </w:rPr>
        <w:t>правораздаването</w:t>
      </w:r>
    </w:p>
    <w:p w:rsidR="004C4AA1" w:rsidRPr="0080270B" w:rsidRDefault="004C4AA1" w:rsidP="00543F35">
      <w:pPr>
        <w:pStyle w:val="BodyText21"/>
        <w:numPr>
          <w:ilvl w:val="0"/>
          <w:numId w:val="1"/>
        </w:numPr>
        <w:shd w:val="clear" w:color="auto" w:fill="auto"/>
        <w:tabs>
          <w:tab w:val="left" w:pos="355"/>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lastRenderedPageBreak/>
        <w:t>Тези въпроси, взети заедно, ни задължават да помислим как достъпът до правосъдие може да бъде предоставен по най-добрия начин от съдилищата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Преустройството на нашата правосъдна система чрез използването на технологии има съществено значение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Отново е полезно да помислим за други разпоредби на Магна Харта, които излагат някои основополагащи принципи</w:t>
      </w:r>
      <w:r w:rsidRPr="0080270B">
        <w:rPr>
          <w:rFonts w:ascii="Times New Roman" w:hAnsi="Times New Roman" w:cs="Times New Roman"/>
          <w:color w:val="auto"/>
          <w:sz w:val="24"/>
          <w:szCs w:val="24"/>
          <w:lang w:val="ru-RU"/>
        </w:rPr>
        <w:t>.</w:t>
      </w:r>
    </w:p>
    <w:p w:rsidR="004C4AA1" w:rsidRPr="00F172D2" w:rsidRDefault="004C4AA1" w:rsidP="00543F35">
      <w:pPr>
        <w:pStyle w:val="Bodytext40"/>
        <w:shd w:val="clear" w:color="auto" w:fill="auto"/>
        <w:spacing w:before="120" w:after="120" w:line="240" w:lineRule="auto"/>
        <w:ind w:left="360"/>
        <w:rPr>
          <w:rFonts w:ascii="Times New Roman" w:hAnsi="Times New Roman" w:cs="Times New Roman"/>
          <w:color w:val="auto"/>
          <w:sz w:val="24"/>
          <w:szCs w:val="24"/>
          <w:lang w:val="bg-BG"/>
        </w:rPr>
      </w:pPr>
      <w:r w:rsidRPr="00F172D2">
        <w:rPr>
          <w:rFonts w:ascii="Times New Roman" w:hAnsi="Times New Roman" w:cs="Times New Roman"/>
          <w:color w:val="auto"/>
          <w:sz w:val="24"/>
          <w:szCs w:val="24"/>
          <w:lang w:val="bg-BG"/>
        </w:rPr>
        <w:t>Достъпност на съда</w:t>
      </w:r>
    </w:p>
    <w:p w:rsidR="004C4AA1" w:rsidRPr="00F172D2" w:rsidRDefault="004C4AA1" w:rsidP="00543F35">
      <w:pPr>
        <w:pStyle w:val="BodyText21"/>
        <w:numPr>
          <w:ilvl w:val="0"/>
          <w:numId w:val="1"/>
        </w:numPr>
        <w:shd w:val="clear" w:color="auto" w:fill="auto"/>
        <w:tabs>
          <w:tab w:val="left" w:pos="437"/>
        </w:tabs>
        <w:spacing w:before="120" w:after="120" w:line="240" w:lineRule="auto"/>
        <w:ind w:left="360" w:right="20" w:hanging="360"/>
        <w:rPr>
          <w:rFonts w:ascii="Times New Roman" w:hAnsi="Times New Roman" w:cs="Times New Roman"/>
          <w:color w:val="auto"/>
          <w:sz w:val="24"/>
          <w:szCs w:val="24"/>
        </w:rPr>
      </w:pPr>
      <w:r w:rsidRPr="00F172D2">
        <w:rPr>
          <w:rFonts w:ascii="Times New Roman" w:hAnsi="Times New Roman" w:cs="Times New Roman"/>
          <w:color w:val="auto"/>
          <w:sz w:val="24"/>
          <w:szCs w:val="24"/>
          <w:lang w:val="bg-BG"/>
        </w:rPr>
        <w:t>Видно е, че през</w:t>
      </w:r>
      <w:r w:rsidRPr="0080270B">
        <w:rPr>
          <w:rFonts w:ascii="Times New Roman" w:hAnsi="Times New Roman" w:cs="Times New Roman"/>
          <w:color w:val="auto"/>
          <w:sz w:val="24"/>
          <w:szCs w:val="24"/>
          <w:lang w:val="ru-RU"/>
        </w:rPr>
        <w:t xml:space="preserve"> 1215 г.</w:t>
      </w:r>
      <w:r w:rsidRPr="00F172D2">
        <w:rPr>
          <w:rFonts w:ascii="Times New Roman" w:hAnsi="Times New Roman" w:cs="Times New Roman"/>
          <w:color w:val="auto"/>
          <w:sz w:val="24"/>
          <w:szCs w:val="24"/>
          <w:lang w:val="bg-BG"/>
        </w:rPr>
        <w:t xml:space="preserve"> бароните са били загрижени за достъпа до съдилищата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Това, на първо място, е отразено в клауза </w:t>
      </w:r>
      <w:r w:rsidRPr="00F172D2">
        <w:rPr>
          <w:rFonts w:ascii="Times New Roman" w:hAnsi="Times New Roman" w:cs="Times New Roman"/>
          <w:color w:val="auto"/>
          <w:sz w:val="24"/>
          <w:szCs w:val="24"/>
        </w:rPr>
        <w:t>17:</w:t>
      </w:r>
    </w:p>
    <w:p w:rsidR="004C4AA1" w:rsidRPr="0080270B" w:rsidRDefault="004C4AA1" w:rsidP="00543F35">
      <w:pPr>
        <w:pStyle w:val="BodyText21"/>
        <w:shd w:val="clear" w:color="auto" w:fill="auto"/>
        <w:spacing w:before="120" w:after="120" w:line="240" w:lineRule="auto"/>
        <w:ind w:left="740" w:right="20" w:firstLine="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Общите искове</w:t>
      </w:r>
      <w:r w:rsidRPr="00F172D2">
        <w:rPr>
          <w:rStyle w:val="FootnoteReference"/>
          <w:rFonts w:ascii="Times New Roman" w:hAnsi="Times New Roman"/>
          <w:color w:val="auto"/>
          <w:sz w:val="24"/>
          <w:szCs w:val="24"/>
          <w:lang w:val="bg-BG"/>
        </w:rPr>
        <w:footnoteReference w:id="9"/>
      </w:r>
      <w:r w:rsidRPr="00F172D2">
        <w:rPr>
          <w:rFonts w:ascii="Times New Roman" w:hAnsi="Times New Roman" w:cs="Times New Roman"/>
          <w:color w:val="auto"/>
          <w:sz w:val="24"/>
          <w:szCs w:val="24"/>
          <w:lang w:val="bg-BG"/>
        </w:rPr>
        <w:t xml:space="preserve"> няма да следват нашия двор, а ще се разглеждат на едно уречено място</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55"/>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Клаузата е показателна за факта, че държавата може необосновано да увеличи разноските на страна по спор, като не предостави лесно достъпни съдилища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Историята на Ричард Д‘Анести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w:t>
      </w:r>
      <w:r w:rsidRPr="00F172D2">
        <w:rPr>
          <w:rFonts w:ascii="Times New Roman" w:hAnsi="Times New Roman" w:cs="Times New Roman"/>
          <w:i/>
          <w:color w:val="auto"/>
          <w:sz w:val="24"/>
          <w:szCs w:val="24"/>
        </w:rPr>
        <w:t>Richard</w:t>
      </w:r>
      <w:r w:rsidRPr="0080270B">
        <w:rPr>
          <w:rFonts w:ascii="Times New Roman" w:hAnsi="Times New Roman" w:cs="Times New Roman"/>
          <w:i/>
          <w:color w:val="auto"/>
          <w:sz w:val="24"/>
          <w:szCs w:val="24"/>
          <w:lang w:val="ru-RU"/>
        </w:rPr>
        <w:t xml:space="preserve"> </w:t>
      </w:r>
      <w:r w:rsidRPr="00F172D2">
        <w:rPr>
          <w:rFonts w:ascii="Times New Roman" w:hAnsi="Times New Roman" w:cs="Times New Roman"/>
          <w:i/>
          <w:color w:val="auto"/>
          <w:sz w:val="24"/>
          <w:szCs w:val="24"/>
        </w:rPr>
        <w:t>d</w:t>
      </w:r>
      <w:r w:rsidRPr="0080270B">
        <w:rPr>
          <w:rFonts w:ascii="Times New Roman" w:hAnsi="Times New Roman" w:cs="Times New Roman"/>
          <w:i/>
          <w:color w:val="auto"/>
          <w:sz w:val="24"/>
          <w:szCs w:val="24"/>
          <w:lang w:val="ru-RU"/>
        </w:rPr>
        <w:t>’</w:t>
      </w:r>
      <w:proofErr w:type="spellStart"/>
      <w:r w:rsidRPr="00F172D2">
        <w:rPr>
          <w:rFonts w:ascii="Times New Roman" w:hAnsi="Times New Roman" w:cs="Times New Roman"/>
          <w:i/>
          <w:color w:val="auto"/>
          <w:sz w:val="24"/>
          <w:szCs w:val="24"/>
        </w:rPr>
        <w:t>Anesty</w:t>
      </w:r>
      <w:proofErr w:type="spellEnd"/>
      <w:r w:rsidRPr="00F172D2">
        <w:rPr>
          <w:rFonts w:ascii="Times New Roman" w:hAnsi="Times New Roman" w:cs="Times New Roman"/>
          <w:color w:val="auto"/>
          <w:sz w:val="24"/>
          <w:szCs w:val="24"/>
          <w:lang w:val="bg-BG"/>
        </w:rPr>
        <w:t>)</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демонстрира проблемите, причинени на тези, които са водили спорове пред кралските съдилища. Те са били принудени да следват краля, който е обикалял своето кралство заедно с кралските съдии</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0"/>
      </w:r>
      <w:r w:rsidRPr="00F172D2">
        <w:rPr>
          <w:rFonts w:ascii="Times New Roman" w:hAnsi="Times New Roman" w:cs="Times New Roman"/>
          <w:color w:val="auto"/>
          <w:sz w:val="24"/>
          <w:szCs w:val="24"/>
          <w:lang w:val="bg-BG"/>
        </w:rPr>
        <w:t xml:space="preserve"> Накратко, Ричард е спорил с неговия чичо относно поземлени права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Тъй като е било необходимо да следва кралския двор</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разрешаването на спора, макар и успешно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отнема около пет години и включва пътешествия до множество места, включително до Нормандия и Лондон през Рим и Линкълн</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Защитата, която Магна Харта предоставя, е била да създаде задължение Съдът на общите искове да има свое установено съдебно седалище</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427"/>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Второто съображение може да се открие в клаузи </w:t>
      </w:r>
      <w:r w:rsidRPr="0080270B">
        <w:rPr>
          <w:rFonts w:ascii="Times New Roman" w:hAnsi="Times New Roman" w:cs="Times New Roman"/>
          <w:color w:val="auto"/>
          <w:sz w:val="24"/>
          <w:szCs w:val="24"/>
          <w:lang w:val="ru-RU"/>
        </w:rPr>
        <w:t xml:space="preserve">18 </w:t>
      </w:r>
      <w:r w:rsidRPr="00F172D2">
        <w:rPr>
          <w:rFonts w:ascii="Times New Roman" w:hAnsi="Times New Roman" w:cs="Times New Roman"/>
          <w:color w:val="auto"/>
          <w:sz w:val="24"/>
          <w:szCs w:val="24"/>
          <w:lang w:val="bg-BG"/>
        </w:rPr>
        <w:t xml:space="preserve">и </w:t>
      </w:r>
      <w:r w:rsidRPr="0080270B">
        <w:rPr>
          <w:rFonts w:ascii="Times New Roman" w:hAnsi="Times New Roman" w:cs="Times New Roman"/>
          <w:color w:val="auto"/>
          <w:sz w:val="24"/>
          <w:szCs w:val="24"/>
          <w:lang w:val="ru-RU"/>
        </w:rPr>
        <w:t xml:space="preserve">19, </w:t>
      </w:r>
      <w:r w:rsidRPr="00F172D2">
        <w:rPr>
          <w:rFonts w:ascii="Times New Roman" w:hAnsi="Times New Roman" w:cs="Times New Roman"/>
          <w:color w:val="auto"/>
          <w:sz w:val="24"/>
          <w:szCs w:val="24"/>
          <w:lang w:val="bg-BG"/>
        </w:rPr>
        <w:t>които се отнасят до търсенето на местно правосъдие. Поет е ангажимент да бъдат изпращани кралски съдии четири пъти в годината, които да правораздават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Кралските съдии заседават заедно с местни представители, избрани от областта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като допълнителен знак за важността на местното правосъдие</w:t>
      </w:r>
      <w:r w:rsidRPr="0080270B">
        <w:rPr>
          <w:rFonts w:ascii="Times New Roman" w:hAnsi="Times New Roman" w:cs="Times New Roman"/>
          <w:color w:val="auto"/>
          <w:sz w:val="24"/>
          <w:szCs w:val="24"/>
          <w:lang w:val="ru-RU"/>
        </w:rPr>
        <w:t xml:space="preserve">. </w:t>
      </w:r>
    </w:p>
    <w:p w:rsidR="004C4AA1" w:rsidRPr="0080270B" w:rsidRDefault="004C4AA1" w:rsidP="00543F35">
      <w:pPr>
        <w:pStyle w:val="BodyText21"/>
        <w:numPr>
          <w:ilvl w:val="0"/>
          <w:numId w:val="1"/>
        </w:numPr>
        <w:shd w:val="clear" w:color="auto" w:fill="auto"/>
        <w:tabs>
          <w:tab w:val="left" w:pos="36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Основата на тези три клаузи е ясният принцип, че достъпът до съдиите трябва да бъде осигуряван чрез най-ефективните средства, които обстоятелствата на епохата позволяват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Месната съдебна палата, специално построена за различни видове дела, е разрешение от ХIХ и ХХ век.</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Това е наследство, което сме получили и с което с право се гордеем</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Въпреки това трябва да се запитаме дали този начин е необходим днес, когато технологиите ни позволяват да предоставяме правосъдие по много по-ефективен начин от гледна точка на разноските</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5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Заради това ние обмисляме въвеждането на Онлайн разрешаване на спорове (</w:t>
      </w:r>
      <w:r w:rsidRPr="00F172D2">
        <w:rPr>
          <w:rFonts w:ascii="Times New Roman" w:hAnsi="Times New Roman" w:cs="Times New Roman"/>
          <w:color w:val="auto"/>
          <w:sz w:val="24"/>
          <w:szCs w:val="24"/>
        </w:rPr>
        <w:t>Online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Dispute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Resolution</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ODR</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чрез Онлайн съд</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Тази концепция е анализирана първоначално в Доклада на Съвета за гражданско правосъдие с предложение за тристепенен подход</w:t>
      </w:r>
      <w:r w:rsidRPr="0080270B">
        <w:rPr>
          <w:rFonts w:ascii="Times New Roman" w:hAnsi="Times New Roman" w:cs="Times New Roman"/>
          <w:color w:val="auto"/>
          <w:sz w:val="24"/>
          <w:szCs w:val="24"/>
          <w:lang w:val="ru-RU"/>
        </w:rPr>
        <w:t>:</w:t>
      </w:r>
    </w:p>
    <w:p w:rsidR="004C4AA1" w:rsidRPr="00F172D2" w:rsidRDefault="004C4AA1" w:rsidP="00543F35">
      <w:pPr>
        <w:pStyle w:val="BodyText21"/>
        <w:numPr>
          <w:ilvl w:val="0"/>
          <w:numId w:val="5"/>
        </w:numPr>
        <w:shd w:val="clear" w:color="auto" w:fill="auto"/>
        <w:tabs>
          <w:tab w:val="left" w:pos="350"/>
        </w:tabs>
        <w:spacing w:before="120" w:after="120" w:line="240" w:lineRule="auto"/>
        <w:ind w:right="40"/>
        <w:rPr>
          <w:rFonts w:ascii="Times New Roman" w:hAnsi="Times New Roman" w:cs="Times New Roman"/>
          <w:color w:val="auto"/>
          <w:sz w:val="24"/>
          <w:szCs w:val="24"/>
          <w:lang w:val="bg-BG"/>
        </w:rPr>
      </w:pPr>
      <w:r w:rsidRPr="00F172D2">
        <w:rPr>
          <w:rFonts w:ascii="Times New Roman" w:hAnsi="Times New Roman" w:cs="Times New Roman"/>
          <w:color w:val="auto"/>
          <w:sz w:val="24"/>
          <w:szCs w:val="24"/>
          <w:lang w:val="bg-BG"/>
        </w:rPr>
        <w:t>избягване на споровете (чрез информиране и анализ на делата),</w:t>
      </w:r>
    </w:p>
    <w:p w:rsidR="004C4AA1" w:rsidRPr="0080270B" w:rsidRDefault="004C4AA1" w:rsidP="00543F35">
      <w:pPr>
        <w:pStyle w:val="BodyText21"/>
        <w:numPr>
          <w:ilvl w:val="0"/>
          <w:numId w:val="5"/>
        </w:numPr>
        <w:shd w:val="clear" w:color="auto" w:fill="auto"/>
        <w:tabs>
          <w:tab w:val="left" w:pos="350"/>
        </w:tabs>
        <w:spacing w:before="120" w:after="120" w:line="240" w:lineRule="auto"/>
        <w:ind w:right="4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разрешаване </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чрез онлайн услуги и медиация</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w:t>
      </w:r>
    </w:p>
    <w:p w:rsidR="004C4AA1" w:rsidRPr="0080270B" w:rsidRDefault="004C4AA1" w:rsidP="00543F35">
      <w:pPr>
        <w:pStyle w:val="BodyText21"/>
        <w:numPr>
          <w:ilvl w:val="0"/>
          <w:numId w:val="5"/>
        </w:numPr>
        <w:shd w:val="clear" w:color="auto" w:fill="auto"/>
        <w:tabs>
          <w:tab w:val="left" w:pos="350"/>
        </w:tabs>
        <w:spacing w:before="120" w:after="120" w:line="240" w:lineRule="auto"/>
        <w:ind w:right="4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lastRenderedPageBreak/>
        <w:t>съдебен спор</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чрез онлайн съд и намаляване на необходимостта от адвокати</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1"/>
      </w:r>
    </w:p>
    <w:p w:rsidR="004C4AA1" w:rsidRPr="0080270B" w:rsidRDefault="004C4AA1" w:rsidP="00963B8F">
      <w:pPr>
        <w:pStyle w:val="BodyText21"/>
        <w:numPr>
          <w:ilvl w:val="0"/>
          <w:numId w:val="5"/>
        </w:numPr>
        <w:shd w:val="clear" w:color="auto" w:fill="auto"/>
        <w:tabs>
          <w:tab w:val="left" w:pos="350"/>
        </w:tabs>
        <w:spacing w:before="120" w:after="120" w:line="240" w:lineRule="auto"/>
        <w:ind w:right="4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Въпреки че</w:t>
      </w:r>
      <w:r w:rsidRPr="0080270B">
        <w:rPr>
          <w:rFonts w:ascii="Times New Roman" w:hAnsi="Times New Roman"/>
          <w:color w:val="auto"/>
          <w:sz w:val="24"/>
          <w:lang w:val="ru-RU"/>
        </w:rPr>
        <w:t xml:space="preserve"> </w:t>
      </w:r>
      <w:r w:rsidRPr="00F172D2">
        <w:rPr>
          <w:rFonts w:ascii="Times New Roman" w:hAnsi="Times New Roman" w:cs="Times New Roman"/>
          <w:color w:val="auto"/>
          <w:sz w:val="24"/>
          <w:szCs w:val="24"/>
          <w:lang w:val="bg-BG"/>
        </w:rPr>
        <w:t>първоначалното развитие е в полето на гражданското правосъдие</w:t>
      </w:r>
      <w:r>
        <w:rPr>
          <w:rFonts w:ascii="Times New Roman" w:hAnsi="Times New Roman" w:cs="Times New Roman"/>
          <w:color w:val="auto"/>
          <w:sz w:val="24"/>
          <w:szCs w:val="24"/>
          <w:lang w:val="bg-BG"/>
        </w:rPr>
        <w:t>,</w:t>
      </w:r>
      <w:r w:rsidRPr="00F172D2">
        <w:rPr>
          <w:rFonts w:ascii="Times New Roman" w:hAnsi="Times New Roman" w:cs="Times New Roman"/>
          <w:color w:val="auto"/>
          <w:sz w:val="24"/>
          <w:szCs w:val="24"/>
          <w:lang w:val="bg-BG"/>
        </w:rPr>
        <w:t xml:space="preserve"> </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много хора считат, че системата може да работи за повечето семейни спорове и множество видове трибунални дела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5"/>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Сходни разсъждения могат да бъдат открити в доклада на сър Браян Левисон относно ефективността на наказателното производство</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2"/>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който защитава по-широко използване на телефонни и видео технологии, за да се улесни провеждането на отдалечени изслушвания по определени дела в предсъдебната фаза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5"/>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Ако това е осъществимо, а работата до този момент показва, че то е, ние можем, по отношение на мнозинството </w:t>
      </w:r>
      <w:r w:rsidRPr="00F172D2">
        <w:rPr>
          <w:rFonts w:ascii="Times New Roman" w:hAnsi="Times New Roman"/>
          <w:color w:val="auto"/>
          <w:sz w:val="24"/>
          <w:lang w:val="bg-BG"/>
        </w:rPr>
        <w:t xml:space="preserve">от </w:t>
      </w:r>
      <w:r w:rsidRPr="00F172D2">
        <w:rPr>
          <w:rFonts w:ascii="Times New Roman" w:hAnsi="Times New Roman" w:cs="Times New Roman"/>
          <w:color w:val="auto"/>
          <w:sz w:val="24"/>
          <w:szCs w:val="24"/>
          <w:lang w:val="bg-BG"/>
        </w:rPr>
        <w:t>леките дела, да се отдалечим от представянето на разположение на обичната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местна съдебна плата с нейните специални възможности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Дори когато делата изискват съдебни заседания</w:t>
      </w:r>
      <w:r w:rsidRPr="0080270B">
        <w:rPr>
          <w:rFonts w:ascii="Times New Roman" w:hAnsi="Times New Roman" w:cs="Times New Roman"/>
          <w:color w:val="auto"/>
          <w:sz w:val="24"/>
          <w:szCs w:val="24"/>
          <w:lang w:val="ru-RU"/>
        </w:rPr>
        <w:t>, пак</w:t>
      </w:r>
      <w:r w:rsidRPr="00F172D2">
        <w:rPr>
          <w:rFonts w:ascii="Times New Roman" w:hAnsi="Times New Roman" w:cs="Times New Roman"/>
          <w:color w:val="auto"/>
          <w:sz w:val="24"/>
          <w:szCs w:val="24"/>
          <w:lang w:val="bg-BG"/>
        </w:rPr>
        <w:t xml:space="preserve"> поставяме под въпрос действителната нужда от поддържане на сегашния брой на съдебните палати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Не можем ли просто да използваме обикновени стаи в публични сгради, за да поддържаме местно 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 достъпът до него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докато запазим използването на постоянни, специални съдебни палати за големите населени места и градове</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5"/>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Заедно с тази посока на разсъждения за физическия достъп до съд</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ние обсъждаме и как най-добре да използваме информационните технологии, за да преустроим процедурите ни. Вместо да използваме  информационни технологии, за да поддържаме вече съществуващите хартиени процедури, какъвто до голяма степен беше подходът досега, ние разглеждаме възможността информационните технологии и дигитализацията да се използват за промяната на начина, по който правосъдната система функционира</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452"/>
        </w:tabs>
        <w:spacing w:before="120" w:after="120" w:line="240" w:lineRule="auto"/>
        <w:ind w:left="360" w:right="40" w:hanging="34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Например трудностите със сегашното състояние на гражданското правосъдие са описани в лекцията, изнесена от Лорд </w:t>
      </w:r>
      <w:r>
        <w:rPr>
          <w:rFonts w:ascii="Times New Roman" w:hAnsi="Times New Roman" w:cs="Times New Roman"/>
          <w:color w:val="auto"/>
          <w:sz w:val="24"/>
          <w:szCs w:val="24"/>
          <w:lang w:val="bg-BG"/>
        </w:rPr>
        <w:t>Главния</w:t>
      </w:r>
      <w:r w:rsidRPr="00F172D2">
        <w:rPr>
          <w:rFonts w:ascii="Times New Roman" w:hAnsi="Times New Roman" w:cs="Times New Roman"/>
          <w:color w:val="auto"/>
          <w:sz w:val="24"/>
          <w:szCs w:val="24"/>
          <w:lang w:val="bg-BG"/>
        </w:rPr>
        <w:t xml:space="preserve"> съдия Ричардс (</w:t>
      </w:r>
      <w:r w:rsidRPr="00F172D2">
        <w:rPr>
          <w:rFonts w:ascii="Times New Roman" w:hAnsi="Times New Roman" w:cs="Times New Roman"/>
          <w:color w:val="auto"/>
          <w:sz w:val="24"/>
          <w:szCs w:val="24"/>
        </w:rPr>
        <w:t>Lord</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Justice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rPr>
        <w:t>Richards</w:t>
      </w:r>
      <w:r w:rsidRPr="00F172D2">
        <w:rPr>
          <w:rFonts w:ascii="Times New Roman" w:hAnsi="Times New Roman" w:cs="Times New Roman"/>
          <w:color w:val="auto"/>
          <w:sz w:val="24"/>
          <w:szCs w:val="24"/>
          <w:lang w:val="bg-BG"/>
        </w:rPr>
        <w:t>)</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през юни тази година</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3"/>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 която той описва трудностите, които Комитетът за гражданско съдопроизводство изпитва в опита му да опрости съдебните ни правила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Както е добре известно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един от моите предшественици като Лорд Главен съдия – Лорд Уолф</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чрез своите два доклада за достъп до правосъдие през 90-те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опита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наред  с други неща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да опрости </w:t>
      </w:r>
      <w:r>
        <w:rPr>
          <w:rFonts w:ascii="Times New Roman" w:hAnsi="Times New Roman" w:cs="Times New Roman"/>
          <w:color w:val="auto"/>
          <w:sz w:val="24"/>
          <w:szCs w:val="24"/>
          <w:lang w:val="bg-BG"/>
        </w:rPr>
        <w:t>тези правила и да направи Бялата</w:t>
      </w:r>
      <w:r w:rsidRPr="00F172D2">
        <w:rPr>
          <w:rFonts w:ascii="Times New Roman" w:hAnsi="Times New Roman" w:cs="Times New Roman"/>
          <w:color w:val="auto"/>
          <w:sz w:val="24"/>
          <w:szCs w:val="24"/>
          <w:lang w:val="bg-BG"/>
        </w:rPr>
        <w:t xml:space="preserve"> книга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съдържаща процедурите с </w:t>
      </w:r>
      <w:r w:rsidRPr="00F172D2">
        <w:rPr>
          <w:rFonts w:ascii="Times New Roman" w:hAnsi="Times New Roman"/>
          <w:color w:val="auto"/>
          <w:sz w:val="24"/>
          <w:lang w:val="bg-BG"/>
        </w:rPr>
        <w:t>подробен коментар</w:t>
      </w:r>
      <w:r w:rsidRPr="0080270B">
        <w:rPr>
          <w:rFonts w:ascii="Times New Roman" w:hAnsi="Times New Roman"/>
          <w:color w:val="auto"/>
          <w:sz w:val="24"/>
          <w:lang w:val="ru-RU"/>
        </w:rPr>
        <w:t xml:space="preserve">, </w:t>
      </w:r>
      <w:r w:rsidRPr="00F172D2">
        <w:rPr>
          <w:rFonts w:ascii="Times New Roman" w:hAnsi="Times New Roman"/>
          <w:color w:val="auto"/>
          <w:sz w:val="24"/>
          <w:lang w:val="bg-BG"/>
        </w:rPr>
        <w:t>по-кратка и по-достъпна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Правилата и Бялата книга нарастват всяка година подобно на литературно ехо на Пруст или Джойс</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Да се надяваме, че дигитализацията ще предостави средствата за постигане на истинско опростяване на процедурите и ограничаването на обема на съдебните книжа</w:t>
      </w:r>
      <w:r w:rsidRPr="0080270B">
        <w:rPr>
          <w:rFonts w:ascii="Times New Roman" w:hAnsi="Times New Roman" w:cs="Times New Roman"/>
          <w:color w:val="auto"/>
          <w:sz w:val="24"/>
          <w:szCs w:val="24"/>
          <w:lang w:val="ru-RU"/>
        </w:rPr>
        <w:t>.</w:t>
      </w:r>
    </w:p>
    <w:p w:rsidR="004C4AA1" w:rsidRPr="00F172D2" w:rsidRDefault="004C4AA1" w:rsidP="00543F35">
      <w:pPr>
        <w:pStyle w:val="Bodytext40"/>
        <w:shd w:val="clear" w:color="auto" w:fill="auto"/>
        <w:spacing w:before="120" w:after="120" w:line="240" w:lineRule="auto"/>
        <w:ind w:left="360" w:hanging="340"/>
        <w:rPr>
          <w:rFonts w:ascii="Times New Roman" w:hAnsi="Times New Roman" w:cs="Times New Roman"/>
          <w:color w:val="auto"/>
          <w:sz w:val="24"/>
          <w:szCs w:val="24"/>
        </w:rPr>
      </w:pPr>
      <w:r w:rsidRPr="00F172D2">
        <w:rPr>
          <w:rFonts w:ascii="Times New Roman" w:hAnsi="Times New Roman" w:cs="Times New Roman"/>
          <w:color w:val="auto"/>
          <w:sz w:val="24"/>
          <w:szCs w:val="24"/>
          <w:lang w:val="bg-BG"/>
        </w:rPr>
        <w:t>Участие на лица-несъдии</w:t>
      </w:r>
    </w:p>
    <w:p w:rsidR="004C4AA1" w:rsidRPr="0080270B" w:rsidRDefault="004C4AA1" w:rsidP="00543F35">
      <w:pPr>
        <w:pStyle w:val="BodyText21"/>
        <w:numPr>
          <w:ilvl w:val="0"/>
          <w:numId w:val="1"/>
        </w:numPr>
        <w:shd w:val="clear" w:color="auto" w:fill="auto"/>
        <w:tabs>
          <w:tab w:val="left" w:pos="375"/>
        </w:tabs>
        <w:spacing w:before="120" w:after="120" w:line="240" w:lineRule="auto"/>
        <w:ind w:left="360" w:hanging="34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В клауза 45 Магна Харта </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предвижда</w:t>
      </w:r>
      <w:r w:rsidRPr="0080270B">
        <w:rPr>
          <w:rFonts w:ascii="Times New Roman" w:hAnsi="Times New Roman" w:cs="Times New Roman"/>
          <w:color w:val="auto"/>
          <w:sz w:val="24"/>
          <w:szCs w:val="24"/>
          <w:lang w:val="ru-RU"/>
        </w:rPr>
        <w:t>:</w:t>
      </w:r>
    </w:p>
    <w:p w:rsidR="004C4AA1" w:rsidRPr="0080270B" w:rsidRDefault="004C4AA1" w:rsidP="00543F35">
      <w:pPr>
        <w:pStyle w:val="BodyText21"/>
        <w:shd w:val="clear" w:color="auto" w:fill="auto"/>
        <w:spacing w:before="120" w:after="120" w:line="240" w:lineRule="auto"/>
        <w:ind w:left="720" w:right="40"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bg-BG"/>
        </w:rPr>
        <w:lastRenderedPageBreak/>
        <w:t>Няма да назначаваме за</w:t>
      </w:r>
      <w:r w:rsidRPr="00F172D2">
        <w:rPr>
          <w:rFonts w:ascii="Times New Roman" w:hAnsi="Times New Roman" w:cs="Times New Roman"/>
          <w:color w:val="auto"/>
          <w:sz w:val="24"/>
          <w:szCs w:val="24"/>
          <w:lang w:val="bg-BG"/>
        </w:rPr>
        <w:t xml:space="preserve"> съдии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пристави, шерифи или</w:t>
      </w:r>
      <w:r w:rsidRPr="0080270B">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bg-BG"/>
        </w:rPr>
        <w:t>бейлифи и такива</w:t>
      </w:r>
      <w:r w:rsidRPr="00F172D2">
        <w:rPr>
          <w:rFonts w:ascii="Times New Roman" w:hAnsi="Times New Roman" w:cs="Times New Roman"/>
          <w:color w:val="auto"/>
          <w:sz w:val="24"/>
          <w:szCs w:val="24"/>
          <w:lang w:val="bg-BG"/>
        </w:rPr>
        <w:t xml:space="preserve">, които </w:t>
      </w:r>
      <w:r>
        <w:rPr>
          <w:rFonts w:ascii="Times New Roman" w:hAnsi="Times New Roman" w:cs="Times New Roman"/>
          <w:color w:val="auto"/>
          <w:sz w:val="24"/>
          <w:szCs w:val="24"/>
          <w:lang w:val="bg-BG"/>
        </w:rPr>
        <w:t>не познават правото на тази страна</w:t>
      </w:r>
      <w:r w:rsidRPr="00F172D2">
        <w:rPr>
          <w:rFonts w:ascii="Times New Roman" w:hAnsi="Times New Roman" w:cs="Times New Roman"/>
          <w:color w:val="auto"/>
          <w:sz w:val="24"/>
          <w:szCs w:val="24"/>
          <w:lang w:val="bg-BG"/>
        </w:rPr>
        <w:t xml:space="preserve"> и не възнамеряват да се придържат към него</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75"/>
        </w:tabs>
        <w:spacing w:before="120" w:after="120" w:line="240" w:lineRule="auto"/>
        <w:ind w:left="360" w:right="40" w:hanging="34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Повечето от нашите системи са се развили, така че съдиите, на което и да е ниво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са изключително високо обучени специалисти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Дори по по-маловажните наказателни дела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мировите съдии не могат да взимат решения без съвета на квалифициран юрист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Използването на съдии при вземането на всички решения има своята очевидна цена</w:t>
      </w:r>
      <w:r w:rsidRPr="0080270B">
        <w:rPr>
          <w:rFonts w:ascii="Times New Roman" w:hAnsi="Times New Roman" w:cs="Times New Roman"/>
          <w:color w:val="auto"/>
          <w:sz w:val="24"/>
          <w:szCs w:val="24"/>
          <w:lang w:val="ru-RU"/>
        </w:rPr>
        <w:t>.</w:t>
      </w:r>
    </w:p>
    <w:p w:rsidR="004C4AA1" w:rsidRPr="00F172D2" w:rsidRDefault="004C4AA1" w:rsidP="00CF28C4">
      <w:pPr>
        <w:pStyle w:val="BodyText21"/>
        <w:numPr>
          <w:ilvl w:val="0"/>
          <w:numId w:val="1"/>
        </w:numPr>
        <w:shd w:val="clear" w:color="auto" w:fill="auto"/>
        <w:tabs>
          <w:tab w:val="left" w:pos="355"/>
        </w:tabs>
        <w:spacing w:before="120" w:after="120" w:line="240" w:lineRule="auto"/>
        <w:ind w:left="360" w:right="20" w:hanging="360"/>
        <w:rPr>
          <w:rFonts w:ascii="Times New Roman" w:hAnsi="Times New Roman" w:cs="Times New Roman"/>
          <w:color w:val="auto"/>
          <w:sz w:val="24"/>
          <w:szCs w:val="24"/>
        </w:rPr>
      </w:pPr>
      <w:r w:rsidRPr="00F172D2">
        <w:rPr>
          <w:rFonts w:ascii="Times New Roman" w:hAnsi="Times New Roman" w:cs="Times New Roman"/>
          <w:color w:val="auto"/>
          <w:sz w:val="24"/>
          <w:szCs w:val="24"/>
          <w:lang w:val="bg-BG"/>
        </w:rPr>
        <w:t>Още повече че състезателната система и процедурите, които сме развили, работят най-добре, когато страните имат адвокати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Това не беше пречка за достъпа до правосъдие, когато държавата предоставяше правна помощ или разноските за адвокат бяха скромни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Състоянието на нещата обаче се промени</w:t>
      </w:r>
      <w:r w:rsidRPr="00F172D2">
        <w:rPr>
          <w:rFonts w:ascii="Times New Roman" w:hAnsi="Times New Roman" w:cs="Times New Roman"/>
          <w:color w:val="auto"/>
          <w:sz w:val="24"/>
          <w:szCs w:val="24"/>
        </w:rPr>
        <w:t>.</w:t>
      </w:r>
    </w:p>
    <w:p w:rsidR="004C4AA1" w:rsidRPr="0080270B" w:rsidRDefault="004C4AA1" w:rsidP="00CF28C4">
      <w:pPr>
        <w:pStyle w:val="BodyText21"/>
        <w:numPr>
          <w:ilvl w:val="0"/>
          <w:numId w:val="1"/>
        </w:numPr>
        <w:shd w:val="clear" w:color="auto" w:fill="auto"/>
        <w:tabs>
          <w:tab w:val="left" w:pos="346"/>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Заради това ние започнахме да създаваме система, която ще освободи съдиите от някои от съдебните дейности и ще позволи много от делата да бъдат разрешавани по процедури, които могат да функционират добре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дори и ако страните нямат адвокати</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4"/>
      </w:r>
    </w:p>
    <w:p w:rsidR="004C4AA1" w:rsidRPr="0080270B" w:rsidRDefault="004C4AA1" w:rsidP="00543F35">
      <w:pPr>
        <w:pStyle w:val="BodyText21"/>
        <w:numPr>
          <w:ilvl w:val="0"/>
          <w:numId w:val="1"/>
        </w:numPr>
        <w:shd w:val="clear" w:color="auto" w:fill="auto"/>
        <w:tabs>
          <w:tab w:val="left" w:pos="422"/>
        </w:tabs>
        <w:spacing w:before="120" w:after="120" w:line="240" w:lineRule="auto"/>
        <w:ind w:left="360" w:right="2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Скорошен доклад на </w:t>
      </w:r>
      <w:r w:rsidRPr="00F172D2">
        <w:rPr>
          <w:rFonts w:ascii="Times New Roman" w:hAnsi="Times New Roman" w:cs="Times New Roman"/>
          <w:color w:val="auto"/>
          <w:sz w:val="24"/>
          <w:szCs w:val="24"/>
        </w:rPr>
        <w:t>JUSTICE</w:t>
      </w:r>
      <w:r w:rsidRPr="00F172D2">
        <w:rPr>
          <w:rFonts w:ascii="Times New Roman" w:hAnsi="Times New Roman" w:cs="Times New Roman"/>
          <w:color w:val="auto"/>
          <w:sz w:val="24"/>
          <w:szCs w:val="24"/>
          <w:lang w:val="bg-BG"/>
        </w:rPr>
        <w:t xml:space="preserve"> – организацията за правни реформи и човешки права, в която членуват лица от целия партиен спектър</w:t>
      </w:r>
      <w:r w:rsidRPr="00F172D2">
        <w:rPr>
          <w:rStyle w:val="BodyText1"/>
          <w:rFonts w:ascii="Times New Roman" w:eastAsia="Courier New" w:hAnsi="Times New Roman" w:cs="Times New Roman"/>
          <w:color w:val="auto"/>
          <w:sz w:val="24"/>
          <w:szCs w:val="24"/>
          <w:lang w:val="bg-BG"/>
        </w:rPr>
        <w:t xml:space="preserve"> и която работи за укрепване на правосъдната система, препоръча повишаване на използването на „регистратори“, които трябва да имат юридическа квалификация и подходящо обучение, за да могат, например, да решават как да администрират дадено дело</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5"/>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Докладът на Съвета по гражданско правосъдие относно ОРС, на който вече се позовах, също предлага създаване на длъжности в същите рамки за лица, които не са съдии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Този доклад използва термина „фасилитатори“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като може би има предвид малко по-стеснен обхват на правомощия</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Докладът на </w:t>
      </w:r>
      <w:r w:rsidRPr="00F172D2">
        <w:rPr>
          <w:rFonts w:ascii="Times New Roman" w:hAnsi="Times New Roman" w:cs="Times New Roman"/>
          <w:color w:val="auto"/>
          <w:sz w:val="24"/>
          <w:szCs w:val="24"/>
        </w:rPr>
        <w:t>JUSTICE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отива по-далеч и допуска възможна употреба на регистраторите не само в граждански дела на малка стойност. Регистраторите вече съществуват</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 известна степен в няко</w:t>
      </w:r>
      <w:r>
        <w:rPr>
          <w:rFonts w:ascii="Times New Roman" w:hAnsi="Times New Roman" w:cs="Times New Roman"/>
          <w:color w:val="auto"/>
          <w:sz w:val="24"/>
          <w:szCs w:val="24"/>
          <w:lang w:val="bg-BG"/>
        </w:rPr>
        <w:t>и трибунали, а пилотна програма</w:t>
      </w:r>
      <w:r w:rsidRPr="00F172D2">
        <w:rPr>
          <w:rFonts w:ascii="Times New Roman" w:hAnsi="Times New Roman" w:cs="Times New Roman"/>
          <w:color w:val="auto"/>
          <w:sz w:val="24"/>
          <w:szCs w:val="24"/>
          <w:lang w:val="bg-BG"/>
        </w:rPr>
        <w:t xml:space="preserve"> функционира за малките парични искове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Видно е, че тяхното използване има потенциал за развитие в следващите години</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5"/>
        </w:tabs>
        <w:spacing w:before="120" w:after="120" w:line="240" w:lineRule="auto"/>
        <w:ind w:left="360" w:right="20" w:hanging="360"/>
        <w:rPr>
          <w:rFonts w:ascii="Times New Roman" w:hAnsi="Times New Roman" w:cs="Times New Roman"/>
          <w:color w:val="auto"/>
          <w:sz w:val="24"/>
          <w:szCs w:val="24"/>
          <w:lang w:val="ru-RU"/>
        </w:rPr>
      </w:pPr>
      <w:r>
        <w:rPr>
          <w:rFonts w:ascii="Times New Roman" w:hAnsi="Times New Roman" w:cs="Times New Roman"/>
          <w:color w:val="auto"/>
          <w:sz w:val="24"/>
          <w:szCs w:val="24"/>
          <w:lang w:val="bg-BG"/>
        </w:rPr>
        <w:t>Една друга концепция в основата</w:t>
      </w:r>
      <w:r w:rsidRPr="00F172D2">
        <w:rPr>
          <w:rFonts w:ascii="Times New Roman" w:hAnsi="Times New Roman" w:cs="Times New Roman"/>
          <w:color w:val="auto"/>
          <w:sz w:val="24"/>
          <w:szCs w:val="24"/>
          <w:lang w:val="bg-BG"/>
        </w:rPr>
        <w:t xml:space="preserve"> както на доклада на </w:t>
      </w:r>
      <w:r w:rsidRPr="00F172D2">
        <w:rPr>
          <w:rFonts w:ascii="Times New Roman" w:hAnsi="Times New Roman" w:cs="Times New Roman"/>
          <w:color w:val="auto"/>
          <w:sz w:val="24"/>
          <w:szCs w:val="24"/>
        </w:rPr>
        <w:t>JUSTICE</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така и на тези за ОРС, е намаляването на необходимостта от юридическо представителство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Важно е да напомняме от време на време на адвокатите, че съдебната система не съществува, за да служи на тях </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въпреки че безспорно играят важна роля</w:t>
      </w:r>
      <w:r w:rsidRPr="0080270B">
        <w:rPr>
          <w:rFonts w:ascii="Times New Roman" w:hAnsi="Times New Roman" w:cs="Times New Roman"/>
          <w:color w:val="auto"/>
          <w:sz w:val="24"/>
          <w:szCs w:val="24"/>
          <w:lang w:val="ru-RU"/>
        </w:rPr>
        <w:t xml:space="preserve">), а </w:t>
      </w:r>
      <w:r w:rsidRPr="00F172D2">
        <w:rPr>
          <w:rFonts w:ascii="Times New Roman" w:hAnsi="Times New Roman" w:cs="Times New Roman"/>
          <w:color w:val="auto"/>
          <w:sz w:val="24"/>
          <w:szCs w:val="24"/>
          <w:lang w:val="bg-BG"/>
        </w:rPr>
        <w:t>на обществеността. Вместо да стигнат до заключението, че адвокатите не са необходими, докладите признават, че всъщност адвокатите са твърде скъпи за много хора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въпреки опитите да бъде отворен пазарът на юридически услуги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Заради това правосъдната система трябва да се адаптира и да гарантира, че хората ще имат достъп до нея без адвокати и по процедури, които са измислени да работят без адвокати</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Така че възможното използване на регистратори или фасилитатори на мястото на съдии в бъдеще е нещо, което е изцяло в съответствие с принципа на клауза 45 от Магна Харта. Клауза 45 е насочена към това, че разрешаването на спорове трябва да е в ръцете на хората, които са посветени в правото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 xml:space="preserve">Този принцип е спазен, но </w:t>
      </w:r>
      <w:r w:rsidRPr="00F172D2">
        <w:rPr>
          <w:rFonts w:ascii="Times New Roman" w:hAnsi="Times New Roman" w:cs="Times New Roman"/>
          <w:color w:val="auto"/>
          <w:sz w:val="24"/>
          <w:szCs w:val="24"/>
          <w:lang w:val="bg-BG"/>
        </w:rPr>
        <w:lastRenderedPageBreak/>
        <w:t>по начин, който признава, че изискването за изключително високата квалификация</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умения и опит, предоставяни понастоящем от нашата съдебна система по всички видове дейности, осъществявани сега, става на цена, която препятства достъпа до правосъдие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Ние трябва да приемем, че осигуряването на достъп до правосъдие може да се постигне в много случаи на много по-ниска цена, като използваме други хора, които са посветени в правото и с умения да го прилагат добре</w:t>
      </w:r>
      <w:r w:rsidRPr="0080270B">
        <w:rPr>
          <w:rFonts w:ascii="Times New Roman" w:hAnsi="Times New Roman" w:cs="Times New Roman"/>
          <w:color w:val="auto"/>
          <w:sz w:val="24"/>
          <w:szCs w:val="24"/>
          <w:lang w:val="ru-RU"/>
        </w:rPr>
        <w:t>.</w:t>
      </w:r>
    </w:p>
    <w:p w:rsidR="004C4AA1" w:rsidRPr="00F172D2" w:rsidRDefault="004C4AA1" w:rsidP="00543F35">
      <w:pPr>
        <w:pStyle w:val="Heading20"/>
        <w:shd w:val="clear" w:color="auto" w:fill="auto"/>
        <w:spacing w:before="120" w:after="120" w:line="240" w:lineRule="auto"/>
        <w:ind w:left="360"/>
        <w:rPr>
          <w:rFonts w:ascii="Times New Roman" w:hAnsi="Times New Roman" w:cs="Times New Roman"/>
          <w:color w:val="auto"/>
          <w:lang w:val="bg-BG"/>
        </w:rPr>
      </w:pPr>
      <w:r w:rsidRPr="00F172D2">
        <w:rPr>
          <w:rFonts w:ascii="Times New Roman" w:hAnsi="Times New Roman" w:cs="Times New Roman"/>
          <w:color w:val="auto"/>
          <w:lang w:val="bg-BG"/>
        </w:rPr>
        <w:t>Заключение</w:t>
      </w:r>
    </w:p>
    <w:p w:rsidR="004C4AA1" w:rsidRPr="0080270B" w:rsidRDefault="004C4AA1" w:rsidP="00543F35">
      <w:pPr>
        <w:pStyle w:val="BodyText21"/>
        <w:numPr>
          <w:ilvl w:val="0"/>
          <w:numId w:val="1"/>
        </w:numPr>
        <w:shd w:val="clear" w:color="auto" w:fill="auto"/>
        <w:tabs>
          <w:tab w:val="left" w:pos="36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 xml:space="preserve">Ще завърша, като се върна към тези най-добре познати клаузи, които днес са все още действащо право по силата на законодателството от </w:t>
      </w:r>
      <w:r w:rsidRPr="0080270B">
        <w:rPr>
          <w:rFonts w:ascii="Times New Roman" w:hAnsi="Times New Roman" w:cs="Times New Roman"/>
          <w:color w:val="auto"/>
          <w:sz w:val="24"/>
          <w:szCs w:val="24"/>
          <w:lang w:val="ru-RU"/>
        </w:rPr>
        <w:t>1297</w:t>
      </w:r>
      <w:r w:rsidRPr="00F172D2">
        <w:rPr>
          <w:rFonts w:ascii="Times New Roman" w:hAnsi="Times New Roman" w:cs="Times New Roman"/>
          <w:color w:val="auto"/>
          <w:sz w:val="24"/>
          <w:szCs w:val="24"/>
          <w:lang w:val="bg-BG"/>
        </w:rPr>
        <w:t xml:space="preserve"> г</w:t>
      </w:r>
      <w:r w:rsidRPr="0080270B">
        <w:rPr>
          <w:rFonts w:ascii="Times New Roman" w:hAnsi="Times New Roman" w:cs="Times New Roman"/>
          <w:color w:val="auto"/>
          <w:sz w:val="24"/>
          <w:szCs w:val="24"/>
          <w:lang w:val="ru-RU"/>
        </w:rPr>
        <w:t>.</w:t>
      </w:r>
      <w:r w:rsidRPr="00F172D2">
        <w:rPr>
          <w:rStyle w:val="FootnoteReference"/>
          <w:rFonts w:ascii="Times New Roman" w:hAnsi="Times New Roman"/>
          <w:color w:val="auto"/>
          <w:sz w:val="24"/>
          <w:szCs w:val="24"/>
        </w:rPr>
        <w:footnoteReference w:id="16"/>
      </w:r>
      <w:r w:rsidRPr="00F172D2">
        <w:rPr>
          <w:rFonts w:ascii="Times New Roman" w:hAnsi="Times New Roman" w:cs="Times New Roman"/>
          <w:color w:val="auto"/>
          <w:sz w:val="24"/>
          <w:szCs w:val="24"/>
          <w:lang w:val="bg-BG"/>
        </w:rPr>
        <w:t>–</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решаването на дела съгласно закона и съ</w:t>
      </w:r>
      <w:r>
        <w:rPr>
          <w:rFonts w:ascii="Times New Roman" w:hAnsi="Times New Roman" w:cs="Times New Roman"/>
          <w:color w:val="auto"/>
          <w:sz w:val="24"/>
          <w:szCs w:val="24"/>
          <w:lang w:val="bg-BG"/>
        </w:rPr>
        <w:t>дебната практика в разумен срок.</w:t>
      </w:r>
      <w:r w:rsidRPr="00F172D2">
        <w:rPr>
          <w:rFonts w:ascii="Times New Roman" w:hAnsi="Times New Roman" w:cs="Times New Roman"/>
          <w:color w:val="auto"/>
          <w:sz w:val="24"/>
          <w:szCs w:val="24"/>
          <w:lang w:val="bg-BG"/>
        </w:rPr>
        <w:t xml:space="preserve"> </w:t>
      </w:r>
    </w:p>
    <w:p w:rsidR="004C4AA1" w:rsidRPr="0080270B" w:rsidRDefault="004C4AA1" w:rsidP="00543F35">
      <w:pPr>
        <w:pStyle w:val="BodyText21"/>
        <w:numPr>
          <w:ilvl w:val="0"/>
          <w:numId w:val="1"/>
        </w:numPr>
        <w:shd w:val="clear" w:color="auto" w:fill="auto"/>
        <w:tabs>
          <w:tab w:val="left" w:pos="35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Тези принципи заедно с принципите, които се извличат от останалите клаузи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разглеждани през днешната призма</w:t>
      </w:r>
      <w:r w:rsidRPr="0080270B">
        <w:rPr>
          <w:rFonts w:ascii="Times New Roman" w:hAnsi="Times New Roman" w:cs="Times New Roman"/>
          <w:color w:val="auto"/>
          <w:sz w:val="24"/>
          <w:szCs w:val="24"/>
          <w:lang w:val="ru-RU"/>
        </w:rPr>
        <w:t xml:space="preserve">, </w:t>
      </w:r>
      <w:r>
        <w:rPr>
          <w:rFonts w:ascii="Times New Roman" w:hAnsi="Times New Roman"/>
          <w:color w:val="auto"/>
          <w:sz w:val="24"/>
          <w:lang w:val="bg-BG"/>
        </w:rPr>
        <w:t>са подходящи за изпълнението на</w:t>
      </w:r>
      <w:r w:rsidRPr="00F172D2">
        <w:rPr>
          <w:rFonts w:ascii="Times New Roman" w:hAnsi="Times New Roman"/>
          <w:color w:val="auto"/>
          <w:sz w:val="24"/>
          <w:lang w:val="bg-BG"/>
        </w:rPr>
        <w:t xml:space="preserve"> задачата</w:t>
      </w:r>
      <w:r>
        <w:rPr>
          <w:rFonts w:ascii="Times New Roman" w:hAnsi="Times New Roman" w:cs="Times New Roman"/>
          <w:color w:val="auto"/>
          <w:sz w:val="24"/>
          <w:szCs w:val="24"/>
          <w:lang w:val="bg-BG"/>
        </w:rPr>
        <w:t xml:space="preserve"> за</w:t>
      </w:r>
      <w:r w:rsidRPr="00F172D2">
        <w:rPr>
          <w:rFonts w:ascii="Times New Roman" w:hAnsi="Times New Roman" w:cs="Times New Roman"/>
          <w:color w:val="auto"/>
          <w:sz w:val="24"/>
          <w:szCs w:val="24"/>
          <w:lang w:val="bg-BG"/>
        </w:rPr>
        <w:t xml:space="preserve"> промяна на система</w:t>
      </w:r>
      <w:r>
        <w:rPr>
          <w:rFonts w:ascii="Times New Roman" w:hAnsi="Times New Roman" w:cs="Times New Roman"/>
          <w:color w:val="auto"/>
          <w:sz w:val="24"/>
          <w:szCs w:val="24"/>
          <w:lang w:val="bg-BG"/>
        </w:rPr>
        <w:t>та на правосъдие, така че да бъде гарантиран</w:t>
      </w:r>
      <w:r w:rsidRPr="00F172D2">
        <w:rPr>
          <w:rFonts w:ascii="Times New Roman" w:hAnsi="Times New Roman" w:cs="Times New Roman"/>
          <w:color w:val="auto"/>
          <w:sz w:val="24"/>
          <w:szCs w:val="24"/>
          <w:lang w:val="bg-BG"/>
        </w:rPr>
        <w:t xml:space="preserve"> достъп</w:t>
      </w:r>
      <w:r>
        <w:rPr>
          <w:rFonts w:ascii="Times New Roman" w:hAnsi="Times New Roman" w:cs="Times New Roman"/>
          <w:color w:val="auto"/>
          <w:sz w:val="24"/>
          <w:szCs w:val="24"/>
          <w:lang w:val="bg-BG"/>
        </w:rPr>
        <w:t>ът</w:t>
      </w:r>
      <w:r w:rsidRPr="00F172D2">
        <w:rPr>
          <w:rFonts w:ascii="Times New Roman" w:hAnsi="Times New Roman" w:cs="Times New Roman"/>
          <w:color w:val="auto"/>
          <w:sz w:val="24"/>
          <w:szCs w:val="24"/>
          <w:lang w:val="bg-BG"/>
        </w:rPr>
        <w:t xml:space="preserve"> до справедливо, безпристрастно и ефективно правораздаване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И за мен това е жизненоважна част от наследството на Магна Харта</w:t>
      </w:r>
      <w:r w:rsidRPr="0080270B">
        <w:rPr>
          <w:rFonts w:ascii="Times New Roman" w:hAnsi="Times New Roman" w:cs="Times New Roman"/>
          <w:color w:val="auto"/>
          <w:sz w:val="24"/>
          <w:szCs w:val="24"/>
          <w:lang w:val="ru-RU"/>
        </w:rPr>
        <w:t xml:space="preserve"> – </w:t>
      </w:r>
      <w:r w:rsidRPr="00F172D2">
        <w:rPr>
          <w:rFonts w:ascii="Times New Roman" w:hAnsi="Times New Roman" w:cs="Times New Roman"/>
          <w:color w:val="auto"/>
          <w:sz w:val="24"/>
          <w:szCs w:val="24"/>
          <w:lang w:val="bg-BG"/>
        </w:rPr>
        <w:t>наследство, което е изнесено към други правосъдни системи по света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Защото без него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останалите права, които ще обсъждаме по-късно днес, не могат да бъдат защитени</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5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Както разясних, съществува риск достъпът до правосъдие да бъде отказан</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Разноските за достъп до правосъдната система често имат характер на забрана</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независимо дали това е резултат от намаляване на бюджета за правна помощ или поради повишаването на разноските за частно юридическо представителство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Съществуването на много от съдебните сгради и процедури е остаряло по такъв начин, че представлява пречка пред наврем</w:t>
      </w:r>
      <w:r>
        <w:rPr>
          <w:rFonts w:ascii="Times New Roman" w:hAnsi="Times New Roman" w:cs="Times New Roman"/>
          <w:color w:val="auto"/>
          <w:sz w:val="24"/>
          <w:szCs w:val="24"/>
          <w:lang w:val="bg-BG"/>
        </w:rPr>
        <w:t>енното отсъждане за</w:t>
      </w:r>
      <w:r w:rsidRPr="00F172D2">
        <w:rPr>
          <w:rFonts w:ascii="Times New Roman" w:hAnsi="Times New Roman" w:cs="Times New Roman"/>
          <w:color w:val="auto"/>
          <w:sz w:val="24"/>
          <w:szCs w:val="24"/>
          <w:lang w:val="bg-BG"/>
        </w:rPr>
        <w:t xml:space="preserve"> права</w:t>
      </w:r>
      <w:r>
        <w:rPr>
          <w:rFonts w:ascii="Times New Roman" w:hAnsi="Times New Roman" w:cs="Times New Roman"/>
          <w:color w:val="auto"/>
          <w:sz w:val="24"/>
          <w:szCs w:val="24"/>
          <w:lang w:val="bg-BG"/>
        </w:rPr>
        <w:t>та</w:t>
      </w:r>
      <w:r w:rsidRPr="00F172D2">
        <w:rPr>
          <w:rFonts w:ascii="Times New Roman" w:hAnsi="Times New Roman" w:cs="Times New Roman"/>
          <w:color w:val="auto"/>
          <w:sz w:val="24"/>
          <w:szCs w:val="24"/>
          <w:lang w:val="bg-BG"/>
        </w:rPr>
        <w:t xml:space="preserve"> и задължения</w:t>
      </w:r>
      <w:r>
        <w:rPr>
          <w:rFonts w:ascii="Times New Roman" w:hAnsi="Times New Roman" w:cs="Times New Roman"/>
          <w:color w:val="auto"/>
          <w:sz w:val="24"/>
          <w:szCs w:val="24"/>
          <w:lang w:val="bg-BG"/>
        </w:rPr>
        <w:t>та</w:t>
      </w:r>
      <w:r w:rsidRPr="0080270B">
        <w:rPr>
          <w:rFonts w:ascii="Times New Roman" w:hAnsi="Times New Roman" w:cs="Times New Roman"/>
          <w:color w:val="auto"/>
          <w:sz w:val="24"/>
          <w:szCs w:val="24"/>
          <w:lang w:val="ru-RU"/>
        </w:rPr>
        <w:t>.</w:t>
      </w:r>
      <w:r w:rsidRPr="00F172D2">
        <w:rPr>
          <w:rFonts w:ascii="Times New Roman" w:hAnsi="Times New Roman" w:cs="Times New Roman"/>
          <w:color w:val="auto"/>
          <w:sz w:val="24"/>
          <w:szCs w:val="24"/>
          <w:lang w:val="bg-BG"/>
        </w:rPr>
        <w:t xml:space="preserve"> Същевременно трябва да разберем, че частното правосъдие не е алтернатива на публичните съдилища и система от трибунали</w:t>
      </w:r>
      <w:r w:rsidRPr="0080270B">
        <w:rPr>
          <w:rFonts w:ascii="Times New Roman" w:hAnsi="Times New Roman" w:cs="Times New Roman"/>
          <w:color w:val="auto"/>
          <w:sz w:val="24"/>
          <w:szCs w:val="24"/>
          <w:lang w:val="ru-RU"/>
        </w:rPr>
        <w:t>.</w:t>
      </w:r>
    </w:p>
    <w:p w:rsidR="004C4AA1" w:rsidRPr="0080270B" w:rsidRDefault="004C4AA1" w:rsidP="00543F35">
      <w:pPr>
        <w:pStyle w:val="BodyText21"/>
        <w:numPr>
          <w:ilvl w:val="0"/>
          <w:numId w:val="1"/>
        </w:numPr>
        <w:shd w:val="clear" w:color="auto" w:fill="auto"/>
        <w:tabs>
          <w:tab w:val="left" w:pos="360"/>
        </w:tabs>
        <w:spacing w:before="120" w:after="120" w:line="240" w:lineRule="auto"/>
        <w:ind w:left="360" w:right="40" w:hanging="360"/>
        <w:rPr>
          <w:rFonts w:ascii="Times New Roman" w:hAnsi="Times New Roman" w:cs="Times New Roman"/>
          <w:color w:val="auto"/>
          <w:sz w:val="24"/>
          <w:szCs w:val="24"/>
          <w:lang w:val="ru-RU"/>
        </w:rPr>
      </w:pPr>
      <w:r w:rsidRPr="00F172D2">
        <w:rPr>
          <w:rFonts w:ascii="Times New Roman" w:hAnsi="Times New Roman" w:cs="Times New Roman"/>
          <w:color w:val="auto"/>
          <w:sz w:val="24"/>
          <w:szCs w:val="24"/>
          <w:lang w:val="bg-BG"/>
        </w:rPr>
        <w:t>Затова е необходимо да преустроим нашата съдебна система, да я пригодим към настоящето и да я подготвим за бъдещото, доколкото това е възможно</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Стабилизирането на нейните финанси, ефективното използване на нейните сгради</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подходящото разпределение на работата и използването на предимствата, които технологиите и дигитализацията могат да донесат, са единственият начин, по който това да може стане</w:t>
      </w:r>
      <w:r w:rsidRPr="0080270B">
        <w:rPr>
          <w:rFonts w:ascii="Times New Roman" w:hAnsi="Times New Roman" w:cs="Times New Roman"/>
          <w:color w:val="auto"/>
          <w:sz w:val="24"/>
          <w:szCs w:val="24"/>
          <w:lang w:val="ru-RU"/>
        </w:rPr>
        <w:t xml:space="preserve">. </w:t>
      </w:r>
      <w:r w:rsidRPr="00F172D2">
        <w:rPr>
          <w:rFonts w:ascii="Times New Roman" w:hAnsi="Times New Roman" w:cs="Times New Roman"/>
          <w:color w:val="auto"/>
          <w:sz w:val="24"/>
          <w:szCs w:val="24"/>
          <w:lang w:val="bg-BG"/>
        </w:rPr>
        <w:t>Да направим това означава да гарантираме достъпа до правосъдие през 21-ви век и да защитим един от най-важните завети на Магна Харта за днешния и за бъдещия ден</w:t>
      </w:r>
      <w:r w:rsidRPr="0080270B">
        <w:rPr>
          <w:rFonts w:ascii="Times New Roman" w:hAnsi="Times New Roman" w:cs="Times New Roman"/>
          <w:color w:val="auto"/>
          <w:sz w:val="24"/>
          <w:szCs w:val="24"/>
          <w:lang w:val="ru-RU"/>
        </w:rPr>
        <w:t>.</w:t>
      </w:r>
    </w:p>
    <w:p w:rsidR="004C4AA1" w:rsidRPr="009F4344" w:rsidRDefault="004C4AA1" w:rsidP="005D476C">
      <w:pPr>
        <w:pStyle w:val="BodyText21"/>
        <w:numPr>
          <w:ilvl w:val="0"/>
          <w:numId w:val="1"/>
        </w:numPr>
        <w:shd w:val="clear" w:color="auto" w:fill="auto"/>
        <w:tabs>
          <w:tab w:val="left" w:pos="350"/>
        </w:tabs>
        <w:spacing w:before="120" w:after="120" w:line="240" w:lineRule="auto"/>
        <w:ind w:left="360" w:right="40" w:hanging="360"/>
        <w:rPr>
          <w:rFonts w:ascii="Times New Roman" w:hAnsi="Times New Roman" w:cs="Times New Roman"/>
          <w:color w:val="auto"/>
          <w:sz w:val="24"/>
          <w:szCs w:val="24"/>
        </w:rPr>
      </w:pPr>
      <w:r w:rsidRPr="00F172D2">
        <w:rPr>
          <w:rFonts w:ascii="Times New Roman" w:hAnsi="Times New Roman" w:cs="Times New Roman"/>
          <w:color w:val="auto"/>
          <w:sz w:val="24"/>
          <w:szCs w:val="24"/>
          <w:lang w:val="bg-BG"/>
        </w:rPr>
        <w:t>Много ви благодаря</w:t>
      </w:r>
      <w:r w:rsidRPr="00F172D2">
        <w:rPr>
          <w:rFonts w:ascii="Times New Roman" w:hAnsi="Times New Roman" w:cs="Times New Roman"/>
          <w:color w:val="auto"/>
          <w:sz w:val="24"/>
          <w:szCs w:val="24"/>
        </w:rPr>
        <w:t>.</w:t>
      </w:r>
    </w:p>
    <w:p w:rsidR="009F4344" w:rsidRDefault="009F4344" w:rsidP="009F4344">
      <w:pPr>
        <w:pStyle w:val="BodyText21"/>
        <w:shd w:val="clear" w:color="auto" w:fill="auto"/>
        <w:tabs>
          <w:tab w:val="left" w:pos="350"/>
        </w:tabs>
        <w:spacing w:before="120" w:after="120" w:line="240" w:lineRule="auto"/>
        <w:ind w:right="40" w:firstLine="0"/>
        <w:rPr>
          <w:rFonts w:ascii="Times New Roman" w:hAnsi="Times New Roman" w:cs="Times New Roman"/>
          <w:color w:val="auto"/>
          <w:sz w:val="24"/>
          <w:szCs w:val="24"/>
          <w:lang w:val="bg-BG"/>
        </w:rPr>
      </w:pPr>
    </w:p>
    <w:p w:rsidR="009F4344" w:rsidRPr="009F4344" w:rsidRDefault="009F4344" w:rsidP="009F4344">
      <w:pPr>
        <w:pStyle w:val="BodyText21"/>
        <w:shd w:val="clear" w:color="auto" w:fill="auto"/>
        <w:tabs>
          <w:tab w:val="left" w:pos="350"/>
        </w:tabs>
        <w:spacing w:before="120" w:after="120" w:line="240" w:lineRule="auto"/>
        <w:ind w:right="40" w:firstLine="0"/>
        <w:rPr>
          <w:rFonts w:ascii="Times New Roman" w:hAnsi="Times New Roman" w:cs="Times New Roman"/>
          <w:i/>
          <w:color w:val="auto"/>
          <w:sz w:val="24"/>
          <w:szCs w:val="24"/>
        </w:rPr>
      </w:pPr>
      <w:r w:rsidRPr="009F4344">
        <w:rPr>
          <w:rFonts w:ascii="Times New Roman" w:hAnsi="Times New Roman" w:cs="Times New Roman"/>
          <w:i/>
          <w:color w:val="auto"/>
          <w:sz w:val="24"/>
          <w:szCs w:val="24"/>
          <w:lang w:val="bg-BG"/>
        </w:rPr>
        <w:t xml:space="preserve">Превод: Симеон </w:t>
      </w:r>
      <w:bookmarkStart w:id="2" w:name="_GoBack"/>
      <w:bookmarkEnd w:id="2"/>
      <w:r w:rsidRPr="009F4344">
        <w:rPr>
          <w:rFonts w:ascii="Times New Roman" w:hAnsi="Times New Roman" w:cs="Times New Roman"/>
          <w:i/>
          <w:color w:val="auto"/>
          <w:sz w:val="24"/>
          <w:szCs w:val="24"/>
          <w:lang w:val="bg-BG"/>
        </w:rPr>
        <w:t>Стойчев</w:t>
      </w:r>
    </w:p>
    <w:sectPr w:rsidR="009F4344" w:rsidRPr="009F4344" w:rsidSect="00AC1B09">
      <w:headerReference w:type="default" r:id="rId9"/>
      <w:footerReference w:type="default" r:id="rId10"/>
      <w:pgSz w:w="11909" w:h="16838"/>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B9" w:rsidRDefault="000E3DB9">
      <w:r>
        <w:separator/>
      </w:r>
    </w:p>
  </w:endnote>
  <w:endnote w:type="continuationSeparator" w:id="0">
    <w:p w:rsidR="000E3DB9" w:rsidRDefault="000E3DB9">
      <w:r>
        <w:continuationSeparator/>
      </w:r>
    </w:p>
  </w:endnote>
  <w:endnote w:type="continuationNotice" w:id="1">
    <w:p w:rsidR="000E3DB9" w:rsidRDefault="000E3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A1" w:rsidRDefault="004C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B9" w:rsidRDefault="000E3DB9">
      <w:r>
        <w:separator/>
      </w:r>
    </w:p>
  </w:footnote>
  <w:footnote w:type="continuationSeparator" w:id="0">
    <w:p w:rsidR="000E3DB9" w:rsidRDefault="000E3DB9">
      <w:r>
        <w:continuationSeparator/>
      </w:r>
    </w:p>
  </w:footnote>
  <w:footnote w:type="continuationNotice" w:id="1">
    <w:p w:rsidR="000E3DB9" w:rsidRDefault="000E3DB9"/>
  </w:footnote>
  <w:footnote w:id="2">
    <w:p w:rsidR="001B64D4" w:rsidRPr="001B64D4" w:rsidRDefault="001B64D4">
      <w:pPr>
        <w:pStyle w:val="FootnoteText"/>
        <w:rPr>
          <w:lang w:val="en-US"/>
        </w:rPr>
      </w:pPr>
      <w:r>
        <w:rPr>
          <w:rStyle w:val="FootnoteReference"/>
        </w:rPr>
        <w:footnoteRef/>
      </w:r>
      <w:r>
        <w:t xml:space="preserve"> </w:t>
      </w:r>
      <w:r w:rsidRPr="001B64D4">
        <w:rPr>
          <w:rFonts w:ascii="Times New Roman" w:hAnsi="Times New Roman" w:cs="Times New Roman"/>
          <w:bCs/>
          <w:iCs/>
          <w:lang w:val="ru-RU"/>
        </w:rPr>
        <w:t>Можете да откриете речта на следния интернет адрес:</w:t>
      </w:r>
      <w:r w:rsidRPr="001B64D4">
        <w:rPr>
          <w:rFonts w:ascii="Times New Roman" w:hAnsi="Times New Roman" w:cs="Times New Roman"/>
          <w:bCs/>
          <w:iCs/>
          <w:lang w:val="ru-RU"/>
        </w:rPr>
        <w:br/>
      </w:r>
      <w:hyperlink r:id="rId1" w:history="1">
        <w:r w:rsidRPr="001B64D4">
          <w:rPr>
            <w:rStyle w:val="Hyperlink"/>
            <w:rFonts w:ascii="Times New Roman" w:hAnsi="Times New Roman"/>
            <w:bCs/>
            <w:lang w:val="en-US"/>
          </w:rPr>
          <w:t>https</w:t>
        </w:r>
        <w:r w:rsidRPr="001B64D4">
          <w:rPr>
            <w:rStyle w:val="Hyperlink"/>
            <w:rFonts w:ascii="Times New Roman" w:hAnsi="Times New Roman"/>
            <w:bCs/>
            <w:lang w:val="bg-BG"/>
          </w:rPr>
          <w:t>://</w:t>
        </w:r>
        <w:r w:rsidRPr="001B64D4">
          <w:rPr>
            <w:rStyle w:val="Hyperlink"/>
            <w:rFonts w:ascii="Times New Roman" w:hAnsi="Times New Roman"/>
            <w:bCs/>
            <w:lang w:val="en-US"/>
          </w:rPr>
          <w:t>www</w:t>
        </w:r>
        <w:r w:rsidRPr="001B64D4">
          <w:rPr>
            <w:rStyle w:val="Hyperlink"/>
            <w:rFonts w:ascii="Times New Roman" w:hAnsi="Times New Roman"/>
            <w:bCs/>
            <w:lang w:val="bg-BG"/>
          </w:rPr>
          <w:t>.</w:t>
        </w:r>
        <w:r w:rsidRPr="001B64D4">
          <w:rPr>
            <w:rStyle w:val="Hyperlink"/>
            <w:rFonts w:ascii="Times New Roman" w:hAnsi="Times New Roman"/>
            <w:bCs/>
            <w:lang w:val="en-US"/>
          </w:rPr>
          <w:t>judiciary</w:t>
        </w:r>
        <w:r w:rsidRPr="001B64D4">
          <w:rPr>
            <w:rStyle w:val="Hyperlink"/>
            <w:rFonts w:ascii="Times New Roman" w:hAnsi="Times New Roman"/>
            <w:bCs/>
            <w:lang w:val="bg-BG"/>
          </w:rPr>
          <w:t>.</w:t>
        </w:r>
        <w:proofErr w:type="spellStart"/>
        <w:r w:rsidRPr="001B64D4">
          <w:rPr>
            <w:rStyle w:val="Hyperlink"/>
            <w:rFonts w:ascii="Times New Roman" w:hAnsi="Times New Roman"/>
            <w:bCs/>
            <w:lang w:val="en-US"/>
          </w:rPr>
          <w:t>gov</w:t>
        </w:r>
        <w:proofErr w:type="spellEnd"/>
        <w:r w:rsidRPr="001B64D4">
          <w:rPr>
            <w:rStyle w:val="Hyperlink"/>
            <w:rFonts w:ascii="Times New Roman" w:hAnsi="Times New Roman"/>
            <w:bCs/>
            <w:lang w:val="bg-BG"/>
          </w:rPr>
          <w:t>.</w:t>
        </w:r>
        <w:proofErr w:type="spellStart"/>
        <w:r w:rsidRPr="001B64D4">
          <w:rPr>
            <w:rStyle w:val="Hyperlink"/>
            <w:rFonts w:ascii="Times New Roman" w:hAnsi="Times New Roman"/>
            <w:bCs/>
            <w:lang w:val="en-US"/>
          </w:rPr>
          <w:t>uk</w:t>
        </w:r>
        <w:proofErr w:type="spellEnd"/>
        <w:r w:rsidRPr="001B64D4">
          <w:rPr>
            <w:rStyle w:val="Hyperlink"/>
            <w:rFonts w:ascii="Times New Roman" w:hAnsi="Times New Roman"/>
            <w:bCs/>
            <w:lang w:val="bg-BG"/>
          </w:rPr>
          <w:t>/</w:t>
        </w:r>
        <w:proofErr w:type="spellStart"/>
        <w:r w:rsidRPr="001B64D4">
          <w:rPr>
            <w:rStyle w:val="Hyperlink"/>
            <w:rFonts w:ascii="Times New Roman" w:hAnsi="Times New Roman"/>
            <w:bCs/>
            <w:lang w:val="en-US"/>
          </w:rPr>
          <w:t>wp</w:t>
        </w:r>
        <w:proofErr w:type="spellEnd"/>
        <w:r w:rsidRPr="001B64D4">
          <w:rPr>
            <w:rStyle w:val="Hyperlink"/>
            <w:rFonts w:ascii="Times New Roman" w:hAnsi="Times New Roman"/>
            <w:bCs/>
            <w:lang w:val="bg-BG"/>
          </w:rPr>
          <w:t>-</w:t>
        </w:r>
        <w:r w:rsidRPr="001B64D4">
          <w:rPr>
            <w:rStyle w:val="Hyperlink"/>
            <w:rFonts w:ascii="Times New Roman" w:hAnsi="Times New Roman"/>
            <w:bCs/>
            <w:lang w:val="en-US"/>
          </w:rPr>
          <w:t>content</w:t>
        </w:r>
        <w:r w:rsidRPr="001B64D4">
          <w:rPr>
            <w:rStyle w:val="Hyperlink"/>
            <w:rFonts w:ascii="Times New Roman" w:hAnsi="Times New Roman"/>
            <w:bCs/>
            <w:lang w:val="bg-BG"/>
          </w:rPr>
          <w:t>/</w:t>
        </w:r>
        <w:r w:rsidRPr="001B64D4">
          <w:rPr>
            <w:rStyle w:val="Hyperlink"/>
            <w:rFonts w:ascii="Times New Roman" w:hAnsi="Times New Roman"/>
            <w:bCs/>
            <w:lang w:val="en-US"/>
          </w:rPr>
          <w:t>uploads</w:t>
        </w:r>
        <w:r w:rsidRPr="001B64D4">
          <w:rPr>
            <w:rStyle w:val="Hyperlink"/>
            <w:rFonts w:ascii="Times New Roman" w:hAnsi="Times New Roman"/>
            <w:bCs/>
            <w:lang w:val="bg-BG"/>
          </w:rPr>
          <w:t>/2015/10/</w:t>
        </w:r>
        <w:r w:rsidRPr="001B64D4">
          <w:rPr>
            <w:rStyle w:val="Hyperlink"/>
            <w:rFonts w:ascii="Times New Roman" w:hAnsi="Times New Roman"/>
            <w:bCs/>
            <w:lang w:val="en-US"/>
          </w:rPr>
          <w:t>the</w:t>
        </w:r>
        <w:r w:rsidRPr="001B64D4">
          <w:rPr>
            <w:rStyle w:val="Hyperlink"/>
            <w:rFonts w:ascii="Times New Roman" w:hAnsi="Times New Roman"/>
            <w:bCs/>
            <w:lang w:val="bg-BG"/>
          </w:rPr>
          <w:t>-</w:t>
        </w:r>
        <w:r w:rsidRPr="001B64D4">
          <w:rPr>
            <w:rStyle w:val="Hyperlink"/>
            <w:rFonts w:ascii="Times New Roman" w:hAnsi="Times New Roman"/>
            <w:bCs/>
            <w:lang w:val="en-US"/>
          </w:rPr>
          <w:t>legacy</w:t>
        </w:r>
        <w:r w:rsidRPr="001B64D4">
          <w:rPr>
            <w:rStyle w:val="Hyperlink"/>
            <w:rFonts w:ascii="Times New Roman" w:hAnsi="Times New Roman"/>
            <w:bCs/>
            <w:lang w:val="bg-BG"/>
          </w:rPr>
          <w:t>-</w:t>
        </w:r>
        <w:r w:rsidRPr="001B64D4">
          <w:rPr>
            <w:rStyle w:val="Hyperlink"/>
            <w:rFonts w:ascii="Times New Roman" w:hAnsi="Times New Roman"/>
            <w:bCs/>
            <w:lang w:val="en-US"/>
          </w:rPr>
          <w:t>of</w:t>
        </w:r>
        <w:r w:rsidRPr="001B64D4">
          <w:rPr>
            <w:rStyle w:val="Hyperlink"/>
            <w:rFonts w:ascii="Times New Roman" w:hAnsi="Times New Roman"/>
            <w:bCs/>
            <w:lang w:val="bg-BG"/>
          </w:rPr>
          <w:t>-</w:t>
        </w:r>
        <w:r w:rsidRPr="001B64D4">
          <w:rPr>
            <w:rStyle w:val="Hyperlink"/>
            <w:rFonts w:ascii="Times New Roman" w:hAnsi="Times New Roman"/>
            <w:bCs/>
            <w:lang w:val="en-US"/>
          </w:rPr>
          <w:t>magna</w:t>
        </w:r>
        <w:r w:rsidRPr="001B64D4">
          <w:rPr>
            <w:rStyle w:val="Hyperlink"/>
            <w:rFonts w:ascii="Times New Roman" w:hAnsi="Times New Roman"/>
            <w:bCs/>
            <w:lang w:val="bg-BG"/>
          </w:rPr>
          <w:t>-</w:t>
        </w:r>
        <w:r w:rsidRPr="001B64D4">
          <w:rPr>
            <w:rStyle w:val="Hyperlink"/>
            <w:rFonts w:ascii="Times New Roman" w:hAnsi="Times New Roman"/>
            <w:bCs/>
            <w:lang w:val="en-US"/>
          </w:rPr>
          <w:t>carta</w:t>
        </w:r>
        <w:r w:rsidRPr="001B64D4">
          <w:rPr>
            <w:rStyle w:val="Hyperlink"/>
            <w:rFonts w:ascii="Times New Roman" w:hAnsi="Times New Roman"/>
            <w:bCs/>
            <w:lang w:val="bg-BG"/>
          </w:rPr>
          <w:t>-</w:t>
        </w:r>
        <w:proofErr w:type="spellStart"/>
        <w:r w:rsidRPr="001B64D4">
          <w:rPr>
            <w:rStyle w:val="Hyperlink"/>
            <w:rFonts w:ascii="Times New Roman" w:hAnsi="Times New Roman"/>
            <w:bCs/>
            <w:lang w:val="en-US"/>
          </w:rPr>
          <w:t>lcj</w:t>
        </w:r>
        <w:proofErr w:type="spellEnd"/>
        <w:r w:rsidRPr="001B64D4">
          <w:rPr>
            <w:rStyle w:val="Hyperlink"/>
            <w:rFonts w:ascii="Times New Roman" w:hAnsi="Times New Roman"/>
            <w:bCs/>
            <w:lang w:val="bg-BG"/>
          </w:rPr>
          <w:t>.</w:t>
        </w:r>
        <w:r w:rsidRPr="001B64D4">
          <w:rPr>
            <w:rStyle w:val="Hyperlink"/>
            <w:rFonts w:ascii="Times New Roman" w:hAnsi="Times New Roman"/>
            <w:bCs/>
            <w:lang w:val="en-US"/>
          </w:rPr>
          <w:t>pdf</w:t>
        </w:r>
      </w:hyperlink>
    </w:p>
  </w:footnote>
  <w:footnote w:id="3">
    <w:p w:rsidR="004C4AA1" w:rsidRDefault="004C4AA1" w:rsidP="005D476C">
      <w:pPr>
        <w:tabs>
          <w:tab w:val="left" w:pos="567"/>
        </w:tabs>
        <w:jc w:val="both"/>
      </w:pPr>
      <w:r w:rsidRPr="00C6720B">
        <w:rPr>
          <w:rStyle w:val="FootnoteReference"/>
          <w:rFonts w:ascii="Times New Roman" w:hAnsi="Times New Roman"/>
          <w:sz w:val="20"/>
          <w:szCs w:val="20"/>
        </w:rPr>
        <w:footnoteRef/>
      </w:r>
      <w:r w:rsidRPr="0080270B">
        <w:rPr>
          <w:rFonts w:ascii="Times New Roman" w:hAnsi="Times New Roman" w:cs="Times New Roman"/>
          <w:sz w:val="20"/>
          <w:szCs w:val="20"/>
          <w:lang w:val="ru-RU"/>
        </w:rPr>
        <w:t xml:space="preserve"> </w:t>
      </w:r>
      <w:r w:rsidRPr="00B73830">
        <w:rPr>
          <w:rFonts w:ascii="Times New Roman" w:hAnsi="Times New Roman" w:cs="Times New Roman"/>
          <w:color w:val="auto"/>
          <w:sz w:val="20"/>
          <w:szCs w:val="20"/>
          <w:lang w:val="bg-BG"/>
        </w:rPr>
        <w:t>Фондацията за правни изследвания (The Legal Research Foundation) е независима организация с нестопанска цел асоциирана с Юридическия факултет на Университета О</w:t>
      </w:r>
      <w:r>
        <w:rPr>
          <w:rFonts w:ascii="Times New Roman" w:hAnsi="Times New Roman" w:cs="Times New Roman"/>
          <w:color w:val="auto"/>
          <w:sz w:val="20"/>
          <w:szCs w:val="20"/>
          <w:lang w:val="bg-BG"/>
        </w:rPr>
        <w:t>у</w:t>
      </w:r>
      <w:r w:rsidR="00C1791D">
        <w:rPr>
          <w:rFonts w:ascii="Times New Roman" w:hAnsi="Times New Roman" w:cs="Times New Roman"/>
          <w:color w:val="auto"/>
          <w:sz w:val="20"/>
          <w:szCs w:val="20"/>
          <w:lang w:val="bg-BG"/>
        </w:rPr>
        <w:t>кла</w:t>
      </w:r>
      <w:r w:rsidRPr="00B73830">
        <w:rPr>
          <w:rFonts w:ascii="Times New Roman" w:hAnsi="Times New Roman" w:cs="Times New Roman"/>
          <w:color w:val="auto"/>
          <w:sz w:val="20"/>
          <w:szCs w:val="20"/>
          <w:lang w:val="bg-BG"/>
        </w:rPr>
        <w:t>н</w:t>
      </w:r>
      <w:r w:rsidR="00C1791D">
        <w:rPr>
          <w:rFonts w:ascii="Times New Roman" w:hAnsi="Times New Roman" w:cs="Times New Roman"/>
          <w:color w:val="auto"/>
          <w:sz w:val="20"/>
          <w:szCs w:val="20"/>
          <w:lang w:val="bg-BG"/>
        </w:rPr>
        <w:t>д</w:t>
      </w:r>
      <w:r w:rsidRPr="00B73830">
        <w:rPr>
          <w:rFonts w:ascii="Times New Roman" w:hAnsi="Times New Roman" w:cs="Times New Roman"/>
          <w:color w:val="auto"/>
          <w:sz w:val="20"/>
          <w:szCs w:val="20"/>
          <w:lang w:val="bg-BG"/>
        </w:rPr>
        <w:t xml:space="preserve"> (University of Auckland), чиято цел е да насърчава </w:t>
      </w:r>
      <w:r>
        <w:rPr>
          <w:rFonts w:ascii="Times New Roman" w:hAnsi="Times New Roman" w:cs="Times New Roman"/>
          <w:color w:val="auto"/>
          <w:sz w:val="20"/>
          <w:szCs w:val="20"/>
          <w:lang w:val="bg-BG"/>
        </w:rPr>
        <w:t xml:space="preserve">юридическите изследвания и юридическото образование в Нова Зеландия, като публикува </w:t>
      </w:r>
      <w:r w:rsidR="000E3DB9">
        <w:fldChar w:fldCharType="begin"/>
      </w:r>
      <w:r w:rsidR="000E3DB9">
        <w:instrText xml:space="preserve"> HYPERLINK "http://www.legalresearch.org.nz/about.aspx" </w:instrText>
      </w:r>
      <w:r w:rsidR="000E3DB9">
        <w:fldChar w:fldCharType="separate"/>
      </w:r>
      <w:r w:rsidRPr="00B73830">
        <w:rPr>
          <w:rFonts w:ascii="Times New Roman" w:hAnsi="Times New Roman" w:cs="Times New Roman"/>
          <w:i/>
          <w:color w:val="auto"/>
          <w:sz w:val="20"/>
          <w:szCs w:val="20"/>
        </w:rPr>
        <w:t>New</w:t>
      </w:r>
      <w:r w:rsidRPr="0080270B">
        <w:rPr>
          <w:rFonts w:ascii="Times New Roman" w:hAnsi="Times New Roman" w:cs="Times New Roman"/>
          <w:i/>
          <w:color w:val="auto"/>
          <w:sz w:val="20"/>
          <w:szCs w:val="20"/>
          <w:lang w:val="ru-RU"/>
        </w:rPr>
        <w:t xml:space="preserve"> </w:t>
      </w:r>
      <w:r w:rsidRPr="00B73830">
        <w:rPr>
          <w:rFonts w:ascii="Times New Roman" w:hAnsi="Times New Roman" w:cs="Times New Roman"/>
          <w:i/>
          <w:color w:val="auto"/>
          <w:sz w:val="20"/>
          <w:szCs w:val="20"/>
        </w:rPr>
        <w:t>Zealand</w:t>
      </w:r>
      <w:r w:rsidRPr="0080270B">
        <w:rPr>
          <w:rFonts w:ascii="Times New Roman" w:hAnsi="Times New Roman" w:cs="Times New Roman"/>
          <w:i/>
          <w:color w:val="auto"/>
          <w:sz w:val="20"/>
          <w:szCs w:val="20"/>
          <w:lang w:val="ru-RU"/>
        </w:rPr>
        <w:t xml:space="preserve"> </w:t>
      </w:r>
      <w:r w:rsidRPr="00B73830">
        <w:rPr>
          <w:rFonts w:ascii="Times New Roman" w:hAnsi="Times New Roman" w:cs="Times New Roman"/>
          <w:i/>
          <w:color w:val="auto"/>
          <w:sz w:val="20"/>
          <w:szCs w:val="20"/>
        </w:rPr>
        <w:t>Law</w:t>
      </w:r>
      <w:r w:rsidRPr="0080270B">
        <w:rPr>
          <w:rFonts w:ascii="Times New Roman" w:hAnsi="Times New Roman" w:cs="Times New Roman"/>
          <w:i/>
          <w:color w:val="auto"/>
          <w:sz w:val="20"/>
          <w:szCs w:val="20"/>
          <w:lang w:val="ru-RU"/>
        </w:rPr>
        <w:t xml:space="preserve"> </w:t>
      </w:r>
      <w:r w:rsidRPr="00B73830">
        <w:rPr>
          <w:rFonts w:ascii="Times New Roman" w:hAnsi="Times New Roman" w:cs="Times New Roman"/>
          <w:i/>
          <w:color w:val="auto"/>
          <w:sz w:val="20"/>
          <w:szCs w:val="20"/>
        </w:rPr>
        <w:t>Review</w:t>
      </w:r>
      <w:r w:rsidR="000E3DB9">
        <w:rPr>
          <w:rFonts w:ascii="Times New Roman" w:hAnsi="Times New Roman" w:cs="Times New Roman"/>
          <w:i/>
          <w:color w:val="auto"/>
          <w:sz w:val="20"/>
          <w:szCs w:val="20"/>
        </w:rPr>
        <w:fldChar w:fldCharType="end"/>
      </w:r>
      <w:r>
        <w:rPr>
          <w:rFonts w:ascii="Times New Roman" w:hAnsi="Times New Roman" w:cs="Times New Roman"/>
          <w:color w:val="auto"/>
          <w:sz w:val="20"/>
          <w:szCs w:val="20"/>
          <w:lang w:val="bg-BG"/>
        </w:rPr>
        <w:t xml:space="preserve"> – водещото юридическо издание в Нова Зеландия, провежда майсторски класове, конференции по водещи теми</w:t>
      </w:r>
      <w:r w:rsidRPr="0080270B">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bg-BG"/>
        </w:rPr>
        <w:t>инвестира в гостуването на юридически учени</w:t>
      </w:r>
      <w:r w:rsidRPr="0080270B">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bg-BG"/>
        </w:rPr>
        <w:t>и предоставя възможност на своите членове да се събират</w:t>
      </w:r>
      <w:r w:rsidRPr="0080270B">
        <w:rPr>
          <w:rFonts w:ascii="Times New Roman" w:hAnsi="Times New Roman" w:cs="Times New Roman"/>
          <w:color w:val="auto"/>
          <w:sz w:val="20"/>
          <w:szCs w:val="20"/>
          <w:lang w:val="ru-RU"/>
        </w:rPr>
        <w:t>.  - (б.пр.)</w:t>
      </w:r>
    </w:p>
  </w:footnote>
  <w:footnote w:id="4">
    <w:p w:rsidR="004C4AA1" w:rsidRDefault="004C4AA1" w:rsidP="0045631A">
      <w:pPr>
        <w:pStyle w:val="FootnoteText"/>
        <w:jc w:val="both"/>
      </w:pPr>
      <w:r w:rsidRPr="00C6720B">
        <w:rPr>
          <w:rStyle w:val="FootnoteReference"/>
          <w:rFonts w:ascii="Times New Roman" w:hAnsi="Times New Roman"/>
        </w:rPr>
        <w:footnoteRef/>
      </w:r>
      <w:r w:rsidRPr="0080270B">
        <w:rPr>
          <w:rFonts w:ascii="Times New Roman" w:hAnsi="Times New Roman" w:cs="Times New Roman"/>
          <w:lang w:val="ru-RU"/>
        </w:rPr>
        <w:t xml:space="preserve"> </w:t>
      </w:r>
      <w:r>
        <w:rPr>
          <w:rFonts w:ascii="Times New Roman" w:hAnsi="Times New Roman" w:cs="Times New Roman"/>
          <w:lang w:val="bg-BG"/>
        </w:rPr>
        <w:t xml:space="preserve">Преводите (от латински на английски – бел. прев.) на </w:t>
      </w:r>
      <w:r w:rsidRPr="00C6720B">
        <w:rPr>
          <w:rFonts w:ascii="Times New Roman" w:hAnsi="Times New Roman" w:cs="Times New Roman"/>
        </w:rPr>
        <w:t>Magna</w:t>
      </w:r>
      <w:r w:rsidRPr="0080270B">
        <w:rPr>
          <w:rFonts w:ascii="Times New Roman" w:hAnsi="Times New Roman" w:cs="Times New Roman"/>
          <w:lang w:val="ru-RU"/>
        </w:rPr>
        <w:t xml:space="preserve"> </w:t>
      </w:r>
      <w:r w:rsidRPr="00C6720B">
        <w:rPr>
          <w:rFonts w:ascii="Times New Roman" w:hAnsi="Times New Roman" w:cs="Times New Roman"/>
        </w:rPr>
        <w:t>Carta</w:t>
      </w:r>
      <w:r w:rsidRPr="0080270B">
        <w:rPr>
          <w:rFonts w:ascii="Times New Roman" w:hAnsi="Times New Roman" w:cs="Times New Roman"/>
          <w:lang w:val="ru-RU"/>
        </w:rPr>
        <w:t xml:space="preserve"> </w:t>
      </w:r>
      <w:r>
        <w:rPr>
          <w:rFonts w:ascii="Times New Roman" w:hAnsi="Times New Roman" w:cs="Times New Roman"/>
          <w:lang w:val="bg-BG"/>
        </w:rPr>
        <w:t>са взети от</w:t>
      </w:r>
      <w:r w:rsidRPr="0080270B">
        <w:rPr>
          <w:rFonts w:ascii="Times New Roman" w:hAnsi="Times New Roman" w:cs="Times New Roman"/>
          <w:lang w:val="ru-RU"/>
        </w:rPr>
        <w:t xml:space="preserve">: </w:t>
      </w:r>
      <w:r w:rsidRPr="00C6720B">
        <w:rPr>
          <w:rFonts w:ascii="Times New Roman" w:hAnsi="Times New Roman" w:cs="Times New Roman"/>
        </w:rPr>
        <w:t>A</w:t>
      </w:r>
      <w:r w:rsidRPr="0080270B">
        <w:rPr>
          <w:rFonts w:ascii="Times New Roman" w:hAnsi="Times New Roman" w:cs="Times New Roman"/>
          <w:lang w:val="ru-RU"/>
        </w:rPr>
        <w:t xml:space="preserve"> </w:t>
      </w:r>
      <w:proofErr w:type="spellStart"/>
      <w:r w:rsidRPr="00C6720B">
        <w:rPr>
          <w:rFonts w:ascii="Times New Roman" w:hAnsi="Times New Roman" w:cs="Times New Roman"/>
        </w:rPr>
        <w:t>Arlidge</w:t>
      </w:r>
      <w:proofErr w:type="spellEnd"/>
      <w:r w:rsidRPr="0080270B">
        <w:rPr>
          <w:rFonts w:ascii="Times New Roman" w:hAnsi="Times New Roman" w:cs="Times New Roman"/>
          <w:lang w:val="ru-RU"/>
        </w:rPr>
        <w:t xml:space="preserve"> </w:t>
      </w:r>
      <w:r>
        <w:rPr>
          <w:rFonts w:ascii="Times New Roman" w:hAnsi="Times New Roman" w:cs="Times New Roman"/>
          <w:lang w:val="bg-BG"/>
        </w:rPr>
        <w:t>и</w:t>
      </w:r>
      <w:r w:rsidRPr="0080270B">
        <w:rPr>
          <w:rFonts w:ascii="Times New Roman" w:hAnsi="Times New Roman" w:cs="Times New Roman"/>
          <w:lang w:val="ru-RU"/>
        </w:rPr>
        <w:t xml:space="preserve"> </w:t>
      </w:r>
      <w:r w:rsidRPr="00C6720B">
        <w:rPr>
          <w:rFonts w:ascii="Times New Roman" w:hAnsi="Times New Roman" w:cs="Times New Roman"/>
        </w:rPr>
        <w:t>I</w:t>
      </w:r>
      <w:r w:rsidRPr="0080270B">
        <w:rPr>
          <w:rFonts w:ascii="Times New Roman" w:hAnsi="Times New Roman" w:cs="Times New Roman"/>
          <w:lang w:val="ru-RU"/>
        </w:rPr>
        <w:t xml:space="preserve"> </w:t>
      </w:r>
      <w:r w:rsidRPr="00C6720B">
        <w:rPr>
          <w:rFonts w:ascii="Times New Roman" w:hAnsi="Times New Roman" w:cs="Times New Roman"/>
        </w:rPr>
        <w:t>Judge</w:t>
      </w:r>
      <w:r w:rsidRPr="0080270B">
        <w:rPr>
          <w:rFonts w:ascii="Times New Roman" w:hAnsi="Times New Roman" w:cs="Times New Roman"/>
          <w:lang w:val="ru-RU"/>
        </w:rPr>
        <w:t xml:space="preserve">, </w:t>
      </w:r>
      <w:r w:rsidRPr="00C6720B">
        <w:rPr>
          <w:rStyle w:val="FootnoteItalic"/>
          <w:rFonts w:ascii="Times New Roman" w:eastAsia="Courier New" w:hAnsi="Times New Roman" w:cs="Times New Roman"/>
          <w:sz w:val="20"/>
          <w:szCs w:val="20"/>
        </w:rPr>
        <w:t>Magna</w:t>
      </w:r>
      <w:r w:rsidRPr="0080270B">
        <w:rPr>
          <w:rStyle w:val="FootnoteItalic"/>
          <w:rFonts w:ascii="Times New Roman" w:eastAsia="Courier New" w:hAnsi="Times New Roman" w:cs="Times New Roman"/>
          <w:sz w:val="20"/>
          <w:szCs w:val="20"/>
          <w:lang w:val="ru-RU"/>
        </w:rPr>
        <w:t xml:space="preserve"> </w:t>
      </w:r>
      <w:r w:rsidRPr="00C6720B">
        <w:rPr>
          <w:rStyle w:val="FootnoteItalic"/>
          <w:rFonts w:ascii="Times New Roman" w:eastAsia="Courier New" w:hAnsi="Times New Roman" w:cs="Times New Roman"/>
          <w:sz w:val="20"/>
          <w:szCs w:val="20"/>
        </w:rPr>
        <w:t>Carta</w:t>
      </w:r>
      <w:r w:rsidRPr="0080270B">
        <w:rPr>
          <w:rStyle w:val="FootnoteItalic"/>
          <w:rFonts w:ascii="Times New Roman" w:eastAsia="Courier New" w:hAnsi="Times New Roman" w:cs="Times New Roman"/>
          <w:sz w:val="20"/>
          <w:szCs w:val="20"/>
          <w:lang w:val="ru-RU"/>
        </w:rPr>
        <w:t xml:space="preserve"> </w:t>
      </w:r>
      <w:r w:rsidRPr="00C6720B">
        <w:rPr>
          <w:rStyle w:val="FootnoteItalic"/>
          <w:rFonts w:ascii="Times New Roman" w:eastAsia="Courier New" w:hAnsi="Times New Roman" w:cs="Times New Roman"/>
          <w:sz w:val="20"/>
          <w:szCs w:val="20"/>
        </w:rPr>
        <w:t>Uncovered</w:t>
      </w:r>
      <w:r w:rsidRPr="0080270B">
        <w:rPr>
          <w:rStyle w:val="FootnoteItalic"/>
          <w:rFonts w:ascii="Times New Roman" w:eastAsia="Courier New" w:hAnsi="Times New Roman" w:cs="Times New Roman"/>
          <w:sz w:val="20"/>
          <w:szCs w:val="20"/>
          <w:lang w:val="ru-RU"/>
        </w:rPr>
        <w:t>,</w:t>
      </w:r>
      <w:r w:rsidRPr="0080270B">
        <w:rPr>
          <w:rFonts w:ascii="Times New Roman" w:hAnsi="Times New Roman" w:cs="Times New Roman"/>
          <w:lang w:val="ru-RU"/>
        </w:rPr>
        <w:t xml:space="preserve"> </w:t>
      </w:r>
      <w:r>
        <w:rPr>
          <w:rFonts w:ascii="Times New Roman" w:hAnsi="Times New Roman" w:cs="Times New Roman"/>
          <w:lang w:val="bg-BG"/>
        </w:rPr>
        <w:t xml:space="preserve">изд. </w:t>
      </w:r>
      <w:proofErr w:type="gramStart"/>
      <w:r w:rsidRPr="00C6720B">
        <w:rPr>
          <w:rFonts w:ascii="Times New Roman" w:hAnsi="Times New Roman" w:cs="Times New Roman"/>
        </w:rPr>
        <w:t>Hart, 2014</w:t>
      </w:r>
      <w:r>
        <w:rPr>
          <w:rFonts w:ascii="Times New Roman" w:hAnsi="Times New Roman" w:cs="Times New Roman"/>
          <w:lang w:val="bg-BG"/>
        </w:rPr>
        <w:t xml:space="preserve"> г</w:t>
      </w:r>
      <w:r w:rsidRPr="00C6720B">
        <w:rPr>
          <w:rFonts w:ascii="Times New Roman" w:hAnsi="Times New Roman" w:cs="Times New Roman"/>
        </w:rPr>
        <w:t>.</w:t>
      </w:r>
      <w:proofErr w:type="gramEnd"/>
    </w:p>
  </w:footnote>
  <w:footnote w:id="5">
    <w:p w:rsidR="004C4AA1" w:rsidRDefault="004C4AA1" w:rsidP="00794EBF">
      <w:pPr>
        <w:pStyle w:val="Footnote20"/>
        <w:shd w:val="clear" w:color="auto" w:fill="auto"/>
        <w:tabs>
          <w:tab w:val="left" w:pos="106"/>
        </w:tabs>
        <w:spacing w:line="240" w:lineRule="auto"/>
      </w:pPr>
      <w:r w:rsidRPr="008D3675">
        <w:rPr>
          <w:rStyle w:val="FootnoteReference"/>
          <w:rFonts w:ascii="Times New Roman" w:hAnsi="Times New Roman"/>
          <w:i w:val="0"/>
          <w:sz w:val="20"/>
          <w:szCs w:val="20"/>
        </w:rPr>
        <w:footnoteRef/>
      </w:r>
      <w:r w:rsidRPr="008D3675">
        <w:rPr>
          <w:rFonts w:ascii="Times New Roman" w:hAnsi="Times New Roman" w:cs="Times New Roman"/>
          <w:i w:val="0"/>
          <w:sz w:val="20"/>
          <w:szCs w:val="20"/>
        </w:rPr>
        <w:t xml:space="preserve"> </w:t>
      </w:r>
      <w:r w:rsidRPr="008D3675">
        <w:rPr>
          <w:rFonts w:ascii="Times New Roman" w:hAnsi="Times New Roman" w:cs="Times New Roman"/>
          <w:sz w:val="20"/>
          <w:szCs w:val="20"/>
        </w:rPr>
        <w:t>A protest against law taxes,</w:t>
      </w:r>
      <w:r w:rsidRPr="008D3675">
        <w:rPr>
          <w:rStyle w:val="FootnoteItalic"/>
          <w:rFonts w:ascii="Times New Roman" w:eastAsia="Courier New" w:hAnsi="Times New Roman" w:cs="Times New Roman"/>
          <w:sz w:val="20"/>
          <w:szCs w:val="20"/>
        </w:rPr>
        <w:t xml:space="preserve"> 1795</w:t>
      </w:r>
      <w:r w:rsidRPr="008D3675">
        <w:rPr>
          <w:rStyle w:val="FootnoteItalic"/>
          <w:rFonts w:ascii="Times New Roman" w:eastAsia="Courier New" w:hAnsi="Times New Roman" w:cs="Times New Roman"/>
          <w:sz w:val="20"/>
          <w:szCs w:val="20"/>
          <w:lang w:val="bg-BG"/>
        </w:rPr>
        <w:t xml:space="preserve"> </w:t>
      </w:r>
      <w:proofErr w:type="gramStart"/>
      <w:r w:rsidRPr="008D3675">
        <w:rPr>
          <w:rStyle w:val="FootnoteItalic"/>
          <w:rFonts w:ascii="Times New Roman" w:eastAsia="Courier New" w:hAnsi="Times New Roman" w:cs="Times New Roman"/>
          <w:sz w:val="20"/>
          <w:szCs w:val="20"/>
          <w:lang w:val="bg-BG"/>
        </w:rPr>
        <w:t>г.</w:t>
      </w:r>
      <w:r w:rsidRPr="008D3675">
        <w:rPr>
          <w:rStyle w:val="FootnoteItalic"/>
          <w:rFonts w:ascii="Times New Roman" w:eastAsia="Courier New" w:hAnsi="Times New Roman" w:cs="Times New Roman"/>
          <w:sz w:val="20"/>
          <w:szCs w:val="20"/>
        </w:rPr>
        <w:t>,</w:t>
      </w:r>
      <w:proofErr w:type="gramEnd"/>
      <w:r w:rsidRPr="008D3675">
        <w:rPr>
          <w:rStyle w:val="FootnoteItalic"/>
          <w:rFonts w:ascii="Times New Roman" w:eastAsia="Courier New" w:hAnsi="Times New Roman" w:cs="Times New Roman"/>
          <w:sz w:val="20"/>
          <w:szCs w:val="20"/>
        </w:rPr>
        <w:t xml:space="preserve"> </w:t>
      </w:r>
      <w:r w:rsidRPr="008D3675">
        <w:rPr>
          <w:rStyle w:val="FootnoteItalic"/>
          <w:rFonts w:ascii="Times New Roman" w:eastAsia="Courier New" w:hAnsi="Times New Roman" w:cs="Times New Roman"/>
          <w:sz w:val="20"/>
          <w:szCs w:val="20"/>
          <w:lang w:val="bg-BG"/>
        </w:rPr>
        <w:t>стр.</w:t>
      </w:r>
      <w:r w:rsidRPr="008D3675">
        <w:rPr>
          <w:rStyle w:val="FootnoteItalic"/>
          <w:rFonts w:ascii="Times New Roman" w:eastAsia="Courier New" w:hAnsi="Times New Roman" w:cs="Times New Roman"/>
          <w:sz w:val="20"/>
          <w:szCs w:val="20"/>
        </w:rPr>
        <w:t xml:space="preserve"> 574.</w:t>
      </w:r>
    </w:p>
  </w:footnote>
  <w:footnote w:id="6">
    <w:p w:rsidR="004C4AA1" w:rsidRDefault="004C4AA1" w:rsidP="00794EBF">
      <w:pPr>
        <w:pStyle w:val="Footnote1"/>
        <w:shd w:val="clear" w:color="auto" w:fill="auto"/>
        <w:spacing w:line="240" w:lineRule="auto"/>
      </w:pPr>
      <w:r w:rsidRPr="00C6720B">
        <w:rPr>
          <w:rStyle w:val="FootnoteReference"/>
          <w:rFonts w:ascii="Times New Roman" w:hAnsi="Times New Roman"/>
          <w:sz w:val="20"/>
          <w:szCs w:val="20"/>
        </w:rPr>
        <w:footnoteRef/>
      </w:r>
      <w:r w:rsidRPr="00C6720B">
        <w:rPr>
          <w:rFonts w:ascii="Times New Roman" w:hAnsi="Times New Roman" w:cs="Times New Roman"/>
          <w:sz w:val="20"/>
          <w:szCs w:val="20"/>
        </w:rPr>
        <w:t xml:space="preserve"> </w:t>
      </w:r>
      <w:proofErr w:type="gramStart"/>
      <w:r w:rsidRPr="00C6720B">
        <w:rPr>
          <w:rFonts w:ascii="Times New Roman" w:hAnsi="Times New Roman" w:cs="Times New Roman"/>
          <w:sz w:val="20"/>
          <w:szCs w:val="20"/>
        </w:rPr>
        <w:t xml:space="preserve">26 </w:t>
      </w:r>
      <w:r>
        <w:rPr>
          <w:rFonts w:ascii="Times New Roman" w:hAnsi="Times New Roman" w:cs="Times New Roman"/>
          <w:sz w:val="20"/>
          <w:szCs w:val="20"/>
          <w:lang w:val="bg-BG"/>
        </w:rPr>
        <w:t>януари</w:t>
      </w:r>
      <w:r w:rsidRPr="00C6720B">
        <w:rPr>
          <w:rFonts w:ascii="Times New Roman" w:hAnsi="Times New Roman" w:cs="Times New Roman"/>
          <w:sz w:val="20"/>
          <w:szCs w:val="20"/>
        </w:rPr>
        <w:t xml:space="preserve"> 1965, NA/T 227/3446.</w:t>
      </w:r>
      <w:proofErr w:type="gramEnd"/>
    </w:p>
  </w:footnote>
  <w:footnote w:id="7">
    <w:p w:rsidR="004C4AA1" w:rsidRDefault="004C4AA1">
      <w:pPr>
        <w:pStyle w:val="FootnoteText"/>
      </w:pPr>
      <w:r w:rsidRPr="00C6720B">
        <w:rPr>
          <w:rStyle w:val="FootnoteReference"/>
          <w:rFonts w:ascii="Times New Roman" w:hAnsi="Times New Roman"/>
        </w:rPr>
        <w:footnoteRef/>
      </w:r>
      <w:r w:rsidRPr="0080270B">
        <w:rPr>
          <w:rFonts w:ascii="Times New Roman" w:hAnsi="Times New Roman" w:cs="Times New Roman"/>
          <w:lang w:val="ru-RU"/>
        </w:rPr>
        <w:t xml:space="preserve"> </w:t>
      </w:r>
      <w:r>
        <w:rPr>
          <w:rFonts w:ascii="Times New Roman" w:hAnsi="Times New Roman" w:cs="Times New Roman"/>
          <w:lang w:val="bg-BG"/>
        </w:rPr>
        <w:t>Закон за финансовите услуги и финансовите пазари 2000 (</w:t>
      </w:r>
      <w:r w:rsidRPr="00C6720B">
        <w:rPr>
          <w:rFonts w:ascii="Times New Roman" w:hAnsi="Times New Roman" w:cs="Times New Roman"/>
        </w:rPr>
        <w:t>Financial</w:t>
      </w:r>
      <w:r w:rsidRPr="0080270B">
        <w:rPr>
          <w:rFonts w:ascii="Times New Roman" w:hAnsi="Times New Roman" w:cs="Times New Roman"/>
          <w:lang w:val="ru-RU"/>
        </w:rPr>
        <w:t xml:space="preserve"> </w:t>
      </w:r>
      <w:r w:rsidRPr="00C6720B">
        <w:rPr>
          <w:rFonts w:ascii="Times New Roman" w:hAnsi="Times New Roman" w:cs="Times New Roman"/>
        </w:rPr>
        <w:t>Services</w:t>
      </w:r>
      <w:r w:rsidRPr="0080270B">
        <w:rPr>
          <w:rFonts w:ascii="Times New Roman" w:hAnsi="Times New Roman" w:cs="Times New Roman"/>
          <w:lang w:val="ru-RU"/>
        </w:rPr>
        <w:t xml:space="preserve"> </w:t>
      </w:r>
      <w:r w:rsidRPr="00C6720B">
        <w:rPr>
          <w:rFonts w:ascii="Times New Roman" w:hAnsi="Times New Roman" w:cs="Times New Roman"/>
        </w:rPr>
        <w:t>and</w:t>
      </w:r>
      <w:r w:rsidRPr="0080270B">
        <w:rPr>
          <w:rFonts w:ascii="Times New Roman" w:hAnsi="Times New Roman" w:cs="Times New Roman"/>
          <w:lang w:val="ru-RU"/>
        </w:rPr>
        <w:t xml:space="preserve"> </w:t>
      </w:r>
      <w:r w:rsidRPr="00C6720B">
        <w:rPr>
          <w:rFonts w:ascii="Times New Roman" w:hAnsi="Times New Roman" w:cs="Times New Roman"/>
        </w:rPr>
        <w:t>Markets</w:t>
      </w:r>
      <w:r w:rsidRPr="0080270B">
        <w:rPr>
          <w:rFonts w:ascii="Times New Roman" w:hAnsi="Times New Roman" w:cs="Times New Roman"/>
          <w:lang w:val="ru-RU"/>
        </w:rPr>
        <w:t xml:space="preserve"> </w:t>
      </w:r>
      <w:r w:rsidRPr="00C6720B">
        <w:rPr>
          <w:rFonts w:ascii="Times New Roman" w:hAnsi="Times New Roman" w:cs="Times New Roman"/>
        </w:rPr>
        <w:t>Act</w:t>
      </w:r>
      <w:r w:rsidRPr="0080270B">
        <w:rPr>
          <w:rFonts w:ascii="Times New Roman" w:hAnsi="Times New Roman" w:cs="Times New Roman"/>
          <w:lang w:val="ru-RU"/>
        </w:rPr>
        <w:t xml:space="preserve"> 2000 (</w:t>
      </w:r>
      <w:r>
        <w:rPr>
          <w:rFonts w:ascii="Times New Roman" w:hAnsi="Times New Roman" w:cs="Times New Roman"/>
          <w:lang w:val="bg-BG"/>
        </w:rPr>
        <w:t>гл</w:t>
      </w:r>
      <w:r w:rsidRPr="0080270B">
        <w:rPr>
          <w:rFonts w:ascii="Times New Roman" w:hAnsi="Times New Roman" w:cs="Times New Roman"/>
          <w:lang w:val="ru-RU"/>
        </w:rPr>
        <w:t>.8)</w:t>
      </w:r>
      <w:r>
        <w:rPr>
          <w:rFonts w:ascii="Times New Roman" w:hAnsi="Times New Roman" w:cs="Times New Roman"/>
          <w:lang w:val="bg-BG"/>
        </w:rPr>
        <w:t>)</w:t>
      </w:r>
      <w:r w:rsidRPr="0080270B">
        <w:rPr>
          <w:rFonts w:ascii="Times New Roman" w:hAnsi="Times New Roman" w:cs="Times New Roman"/>
          <w:lang w:val="ru-RU"/>
        </w:rPr>
        <w:t xml:space="preserve"> </w:t>
      </w:r>
      <w:r>
        <w:rPr>
          <w:rFonts w:ascii="Times New Roman" w:hAnsi="Times New Roman" w:cs="Times New Roman"/>
          <w:lang w:val="bg-BG"/>
        </w:rPr>
        <w:t xml:space="preserve">част </w:t>
      </w:r>
      <w:r w:rsidRPr="0080270B">
        <w:rPr>
          <w:rFonts w:ascii="Times New Roman" w:hAnsi="Times New Roman" w:cs="Times New Roman"/>
          <w:lang w:val="ru-RU"/>
        </w:rPr>
        <w:t>16.</w:t>
      </w:r>
    </w:p>
  </w:footnote>
  <w:footnote w:id="8">
    <w:p w:rsidR="004C4AA1" w:rsidRDefault="004C4AA1" w:rsidP="00794EBF">
      <w:pPr>
        <w:pStyle w:val="Footnote20"/>
        <w:shd w:val="clear" w:color="auto" w:fill="auto"/>
        <w:tabs>
          <w:tab w:val="left" w:pos="115"/>
        </w:tabs>
        <w:spacing w:line="240" w:lineRule="auto"/>
      </w:pPr>
      <w:r w:rsidRPr="00C6720B">
        <w:rPr>
          <w:rStyle w:val="FootnoteReference"/>
          <w:rFonts w:ascii="Times New Roman" w:hAnsi="Times New Roman"/>
          <w:sz w:val="20"/>
          <w:szCs w:val="20"/>
        </w:rPr>
        <w:footnoteRef/>
      </w:r>
      <w:r w:rsidRPr="00C6720B">
        <w:rPr>
          <w:rFonts w:ascii="Times New Roman" w:hAnsi="Times New Roman" w:cs="Times New Roman"/>
          <w:sz w:val="20"/>
          <w:szCs w:val="20"/>
        </w:rPr>
        <w:t xml:space="preserve"> </w:t>
      </w:r>
      <w:proofErr w:type="spellStart"/>
      <w:r w:rsidRPr="005C34DF">
        <w:rPr>
          <w:rStyle w:val="FootnoteItalic"/>
          <w:rFonts w:ascii="Times New Roman" w:eastAsia="Courier New" w:hAnsi="Times New Roman" w:cs="Times New Roman"/>
          <w:i/>
          <w:sz w:val="20"/>
          <w:szCs w:val="20"/>
        </w:rPr>
        <w:t>Mnookin</w:t>
      </w:r>
      <w:proofErr w:type="spellEnd"/>
      <w:r w:rsidRPr="005C34DF">
        <w:rPr>
          <w:rStyle w:val="FootnoteItalic"/>
          <w:rFonts w:ascii="Times New Roman" w:eastAsia="Courier New" w:hAnsi="Times New Roman" w:cs="Times New Roman"/>
          <w:i/>
          <w:sz w:val="20"/>
          <w:szCs w:val="20"/>
        </w:rPr>
        <w:t xml:space="preserve"> &amp; </w:t>
      </w:r>
      <w:proofErr w:type="spellStart"/>
      <w:r w:rsidRPr="005C34DF">
        <w:rPr>
          <w:rStyle w:val="FootnoteItalic"/>
          <w:rFonts w:ascii="Times New Roman" w:eastAsia="Courier New" w:hAnsi="Times New Roman" w:cs="Times New Roman"/>
          <w:i/>
          <w:sz w:val="20"/>
          <w:szCs w:val="20"/>
        </w:rPr>
        <w:t>Kornhauser</w:t>
      </w:r>
      <w:proofErr w:type="spellEnd"/>
      <w:r w:rsidRPr="00C6720B">
        <w:rPr>
          <w:rStyle w:val="FootnoteItalic"/>
          <w:rFonts w:ascii="Times New Roman" w:eastAsia="Courier New" w:hAnsi="Times New Roman" w:cs="Times New Roman"/>
          <w:sz w:val="20"/>
          <w:szCs w:val="20"/>
        </w:rPr>
        <w:t xml:space="preserve">, </w:t>
      </w:r>
      <w:r w:rsidRPr="005C34DF">
        <w:rPr>
          <w:rFonts w:ascii="Times New Roman" w:hAnsi="Times New Roman" w:cs="Times New Roman"/>
          <w:i w:val="0"/>
          <w:sz w:val="20"/>
          <w:szCs w:val="20"/>
        </w:rPr>
        <w:t>Bargaining in the Shadow of the Law: The Case of Divorce</w:t>
      </w:r>
      <w:r w:rsidRPr="00C6720B">
        <w:rPr>
          <w:rFonts w:ascii="Times New Roman" w:hAnsi="Times New Roman" w:cs="Times New Roman"/>
          <w:sz w:val="20"/>
          <w:szCs w:val="20"/>
        </w:rPr>
        <w:t>,</w:t>
      </w:r>
      <w:r w:rsidRPr="00C6720B">
        <w:rPr>
          <w:rStyle w:val="FootnoteItalic"/>
          <w:rFonts w:ascii="Times New Roman" w:eastAsia="Courier New" w:hAnsi="Times New Roman" w:cs="Times New Roman"/>
          <w:sz w:val="20"/>
          <w:szCs w:val="20"/>
        </w:rPr>
        <w:t xml:space="preserve"> (1979) 88 Yale L.J. 950.</w:t>
      </w:r>
    </w:p>
  </w:footnote>
  <w:footnote w:id="9">
    <w:p w:rsidR="004C4AA1" w:rsidRDefault="004C4AA1">
      <w:pPr>
        <w:pStyle w:val="FootnoteText"/>
      </w:pPr>
      <w:r w:rsidRPr="00C6720B">
        <w:rPr>
          <w:rStyle w:val="FootnoteReference"/>
          <w:rFonts w:ascii="Times New Roman" w:hAnsi="Times New Roman"/>
        </w:rPr>
        <w:footnoteRef/>
      </w:r>
      <w:r w:rsidRPr="0080270B">
        <w:rPr>
          <w:rFonts w:ascii="Times New Roman" w:hAnsi="Times New Roman" w:cs="Times New Roman"/>
          <w:lang w:val="ru-RU"/>
        </w:rPr>
        <w:t xml:space="preserve"> </w:t>
      </w:r>
      <w:r>
        <w:rPr>
          <w:rFonts w:ascii="Times New Roman" w:hAnsi="Times New Roman" w:cs="Times New Roman"/>
          <w:lang w:val="bg-BG"/>
        </w:rPr>
        <w:t>Общи искове (</w:t>
      </w:r>
      <w:r w:rsidRPr="00C6720B">
        <w:rPr>
          <w:rFonts w:ascii="Times New Roman" w:hAnsi="Times New Roman" w:cs="Times New Roman"/>
          <w:lang w:val="en-US"/>
        </w:rPr>
        <w:t>Common</w:t>
      </w:r>
      <w:r w:rsidRPr="0080270B">
        <w:rPr>
          <w:rFonts w:ascii="Times New Roman" w:hAnsi="Times New Roman" w:cs="Times New Roman"/>
          <w:lang w:val="ru-RU"/>
        </w:rPr>
        <w:t xml:space="preserve"> </w:t>
      </w:r>
      <w:r w:rsidRPr="00C6720B">
        <w:rPr>
          <w:rFonts w:ascii="Times New Roman" w:hAnsi="Times New Roman" w:cs="Times New Roman"/>
          <w:lang w:val="en-US"/>
        </w:rPr>
        <w:t>pleas</w:t>
      </w:r>
      <w:r w:rsidRPr="0080270B">
        <w:rPr>
          <w:rFonts w:ascii="Times New Roman" w:hAnsi="Times New Roman" w:cs="Times New Roman"/>
          <w:lang w:val="ru-RU"/>
        </w:rPr>
        <w:t xml:space="preserve">) </w:t>
      </w:r>
      <w:r>
        <w:rPr>
          <w:rFonts w:ascii="Times New Roman" w:hAnsi="Times New Roman" w:cs="Times New Roman"/>
          <w:lang w:val="bg-BG"/>
        </w:rPr>
        <w:t xml:space="preserve">са </w:t>
      </w:r>
      <w:r w:rsidRPr="0080270B">
        <w:rPr>
          <w:rFonts w:ascii="Times New Roman" w:hAnsi="Times New Roman" w:cs="Times New Roman"/>
          <w:lang w:val="ru-RU"/>
        </w:rPr>
        <w:t>искове м</w:t>
      </w:r>
      <w:r>
        <w:rPr>
          <w:rFonts w:ascii="Times New Roman" w:hAnsi="Times New Roman" w:cs="Times New Roman"/>
          <w:lang w:val="bg-BG"/>
        </w:rPr>
        <w:t>ежду поданик и поданик, които не касаят пряко краля</w:t>
      </w:r>
      <w:r w:rsidRPr="00C6720B">
        <w:rPr>
          <w:rFonts w:ascii="Times New Roman" w:hAnsi="Times New Roman" w:cs="Times New Roman"/>
          <w:lang w:val="bg-BG"/>
        </w:rPr>
        <w:t xml:space="preserve"> </w:t>
      </w:r>
      <w:r w:rsidRPr="0080270B">
        <w:rPr>
          <w:rFonts w:ascii="Times New Roman" w:hAnsi="Times New Roman" w:cs="Times New Roman"/>
          <w:lang w:val="ru-RU"/>
        </w:rPr>
        <w:t xml:space="preserve">- </w:t>
      </w:r>
      <w:r w:rsidRPr="00C6720B">
        <w:rPr>
          <w:rFonts w:ascii="Times New Roman" w:hAnsi="Times New Roman" w:cs="Times New Roman"/>
          <w:lang w:val="bg-BG"/>
        </w:rPr>
        <w:t>бел. прев.</w:t>
      </w:r>
    </w:p>
  </w:footnote>
  <w:footnote w:id="10">
    <w:p w:rsidR="004C4AA1" w:rsidRPr="0080270B" w:rsidRDefault="004C4AA1" w:rsidP="00543F35">
      <w:pPr>
        <w:pStyle w:val="Footnote1"/>
        <w:shd w:val="clear" w:color="auto" w:fill="auto"/>
        <w:tabs>
          <w:tab w:val="left" w:pos="120"/>
        </w:tabs>
        <w:spacing w:line="240" w:lineRule="auto"/>
        <w:rPr>
          <w:rFonts w:ascii="Times New Roman" w:hAnsi="Times New Roman" w:cs="Times New Roman"/>
          <w:sz w:val="20"/>
          <w:szCs w:val="20"/>
          <w:lang w:val="ru-RU"/>
        </w:rPr>
      </w:pPr>
      <w:r w:rsidRPr="00C6720B">
        <w:rPr>
          <w:rStyle w:val="FootnoteReference"/>
          <w:rFonts w:ascii="Times New Roman" w:hAnsi="Times New Roman"/>
          <w:sz w:val="20"/>
          <w:szCs w:val="20"/>
        </w:rPr>
        <w:footnoteRef/>
      </w:r>
      <w:r w:rsidRPr="0080270B">
        <w:rPr>
          <w:rFonts w:ascii="Times New Roman" w:hAnsi="Times New Roman" w:cs="Times New Roman"/>
          <w:sz w:val="20"/>
          <w:szCs w:val="20"/>
          <w:lang w:val="ru-RU"/>
        </w:rPr>
        <w:t xml:space="preserve"> </w:t>
      </w:r>
      <w:r>
        <w:rPr>
          <w:rFonts w:ascii="Times New Roman" w:hAnsi="Times New Roman" w:cs="Times New Roman"/>
          <w:sz w:val="20"/>
          <w:szCs w:val="20"/>
          <w:lang w:val="bg-BG"/>
        </w:rPr>
        <w:t xml:space="preserve">Разказах </w:t>
      </w:r>
      <w:r>
        <w:rPr>
          <w:rFonts w:ascii="Times New Roman" w:hAnsi="Times New Roman" w:cs="Times New Roman"/>
          <w:sz w:val="20"/>
          <w:szCs w:val="20"/>
          <w:lang w:val="bg-BG"/>
        </w:rPr>
        <w:t>тази история в по време на лекцията Биркънхед (</w:t>
      </w:r>
      <w:r w:rsidRPr="00C6720B">
        <w:rPr>
          <w:rFonts w:ascii="Times New Roman" w:hAnsi="Times New Roman" w:cs="Times New Roman"/>
          <w:sz w:val="20"/>
          <w:szCs w:val="20"/>
        </w:rPr>
        <w:t>Birkenhead</w:t>
      </w:r>
      <w:r w:rsidRPr="0080270B">
        <w:rPr>
          <w:rFonts w:ascii="Times New Roman" w:hAnsi="Times New Roman" w:cs="Times New Roman"/>
          <w:sz w:val="20"/>
          <w:szCs w:val="20"/>
          <w:lang w:val="ru-RU"/>
        </w:rPr>
        <w:t xml:space="preserve"> </w:t>
      </w:r>
      <w:r w:rsidRPr="00C6720B">
        <w:rPr>
          <w:rFonts w:ascii="Times New Roman" w:hAnsi="Times New Roman" w:cs="Times New Roman"/>
          <w:sz w:val="20"/>
          <w:szCs w:val="20"/>
        </w:rPr>
        <w:t>Lecture</w:t>
      </w:r>
      <w:r>
        <w:rPr>
          <w:rFonts w:ascii="Times New Roman" w:hAnsi="Times New Roman" w:cs="Times New Roman"/>
          <w:sz w:val="20"/>
          <w:szCs w:val="20"/>
          <w:lang w:val="bg-BG"/>
        </w:rPr>
        <w:t>)</w:t>
      </w:r>
      <w:r w:rsidRPr="0080270B">
        <w:rPr>
          <w:rFonts w:ascii="Times New Roman" w:hAnsi="Times New Roman" w:cs="Times New Roman"/>
          <w:sz w:val="20"/>
          <w:szCs w:val="20"/>
          <w:lang w:val="ru-RU"/>
        </w:rPr>
        <w:t>,</w:t>
      </w:r>
      <w:r>
        <w:rPr>
          <w:rFonts w:ascii="Times New Roman" w:hAnsi="Times New Roman" w:cs="Times New Roman"/>
          <w:sz w:val="20"/>
          <w:szCs w:val="20"/>
          <w:lang w:val="bg-BG"/>
        </w:rPr>
        <w:t xml:space="preserve"> изнесена в </w:t>
      </w:r>
      <w:r w:rsidRPr="0080270B">
        <w:rPr>
          <w:rFonts w:ascii="Times New Roman" w:hAnsi="Times New Roman" w:cs="Times New Roman"/>
          <w:sz w:val="20"/>
          <w:szCs w:val="20"/>
          <w:lang w:val="ru-RU"/>
        </w:rPr>
        <w:t xml:space="preserve"> </w:t>
      </w:r>
      <w:r>
        <w:rPr>
          <w:rFonts w:ascii="Times New Roman" w:hAnsi="Times New Roman" w:cs="Times New Roman"/>
          <w:sz w:val="20"/>
          <w:szCs w:val="20"/>
          <w:lang w:val="bg-BG"/>
        </w:rPr>
        <w:t>Грейс Ин</w:t>
      </w:r>
      <w:r w:rsidRPr="0080270B">
        <w:rPr>
          <w:rFonts w:ascii="Times New Roman" w:hAnsi="Times New Roman" w:cs="Times New Roman"/>
          <w:sz w:val="20"/>
          <w:szCs w:val="20"/>
          <w:lang w:val="ru-RU"/>
        </w:rPr>
        <w:t xml:space="preserve"> </w:t>
      </w:r>
      <w:r>
        <w:rPr>
          <w:rFonts w:ascii="Times New Roman" w:hAnsi="Times New Roman" w:cs="Times New Roman"/>
          <w:sz w:val="20"/>
          <w:szCs w:val="20"/>
          <w:lang w:val="bg-BG"/>
        </w:rPr>
        <w:t>(</w:t>
      </w:r>
      <w:proofErr w:type="spellStart"/>
      <w:r w:rsidRPr="00C6720B">
        <w:rPr>
          <w:rFonts w:ascii="Times New Roman" w:hAnsi="Times New Roman" w:cs="Times New Roman"/>
          <w:sz w:val="20"/>
          <w:szCs w:val="20"/>
        </w:rPr>
        <w:t>Gray</w:t>
      </w:r>
      <w:proofErr w:type="spellEnd"/>
      <w:r w:rsidRPr="0080270B">
        <w:rPr>
          <w:rFonts w:ascii="Times New Roman" w:hAnsi="Times New Roman" w:cs="Times New Roman"/>
          <w:sz w:val="20"/>
          <w:szCs w:val="20"/>
          <w:lang w:val="ru-RU"/>
        </w:rPr>
        <w:t>’</w:t>
      </w:r>
      <w:r w:rsidRPr="00C6720B">
        <w:rPr>
          <w:rFonts w:ascii="Times New Roman" w:hAnsi="Times New Roman" w:cs="Times New Roman"/>
          <w:sz w:val="20"/>
          <w:szCs w:val="20"/>
        </w:rPr>
        <w:t>s</w:t>
      </w:r>
      <w:r w:rsidRPr="0080270B">
        <w:rPr>
          <w:rFonts w:ascii="Times New Roman" w:hAnsi="Times New Roman" w:cs="Times New Roman"/>
          <w:sz w:val="20"/>
          <w:szCs w:val="20"/>
          <w:lang w:val="ru-RU"/>
        </w:rPr>
        <w:t xml:space="preserve"> </w:t>
      </w:r>
      <w:r w:rsidRPr="00C6720B">
        <w:rPr>
          <w:rFonts w:ascii="Times New Roman" w:hAnsi="Times New Roman" w:cs="Times New Roman"/>
          <w:sz w:val="20"/>
          <w:szCs w:val="20"/>
        </w:rPr>
        <w:t>Inn</w:t>
      </w:r>
      <w:r>
        <w:rPr>
          <w:rFonts w:ascii="Times New Roman" w:hAnsi="Times New Roman" w:cs="Times New Roman"/>
          <w:sz w:val="20"/>
          <w:szCs w:val="20"/>
          <w:lang w:val="bg-BG"/>
        </w:rPr>
        <w:t>)</w:t>
      </w:r>
      <w:r w:rsidRPr="0080270B">
        <w:rPr>
          <w:rFonts w:ascii="Times New Roman" w:hAnsi="Times New Roman" w:cs="Times New Roman"/>
          <w:sz w:val="20"/>
          <w:szCs w:val="20"/>
          <w:lang w:val="ru-RU"/>
        </w:rPr>
        <w:t xml:space="preserve"> (</w:t>
      </w:r>
      <w:r>
        <w:rPr>
          <w:rFonts w:ascii="Times New Roman" w:hAnsi="Times New Roman" w:cs="Times New Roman"/>
          <w:sz w:val="20"/>
          <w:szCs w:val="20"/>
          <w:lang w:val="bg-BG"/>
        </w:rPr>
        <w:t xml:space="preserve">ноември </w:t>
      </w:r>
      <w:r w:rsidRPr="0080270B">
        <w:rPr>
          <w:rFonts w:ascii="Times New Roman" w:hAnsi="Times New Roman" w:cs="Times New Roman"/>
          <w:sz w:val="20"/>
          <w:szCs w:val="20"/>
          <w:lang w:val="ru-RU"/>
        </w:rPr>
        <w:t xml:space="preserve">2013). </w:t>
      </w:r>
      <w:r>
        <w:rPr>
          <w:rFonts w:ascii="Times New Roman" w:hAnsi="Times New Roman" w:cs="Times New Roman"/>
          <w:sz w:val="20"/>
          <w:szCs w:val="20"/>
          <w:lang w:val="bg-BG"/>
        </w:rPr>
        <w:t>Виж</w:t>
      </w:r>
      <w:r w:rsidRPr="0080270B">
        <w:rPr>
          <w:rFonts w:ascii="Times New Roman" w:hAnsi="Times New Roman" w:cs="Times New Roman"/>
          <w:sz w:val="20"/>
          <w:szCs w:val="20"/>
          <w:lang w:val="ru-RU"/>
        </w:rPr>
        <w:t>:</w:t>
      </w:r>
    </w:p>
    <w:p w:rsidR="004C4AA1" w:rsidRDefault="000E3DB9" w:rsidP="00543F35">
      <w:pPr>
        <w:pStyle w:val="Footnote1"/>
        <w:shd w:val="clear" w:color="auto" w:fill="auto"/>
        <w:spacing w:line="240" w:lineRule="auto"/>
        <w:ind w:right="260"/>
      </w:pPr>
      <w:hyperlink r:id="rId2" w:history="1">
        <w:r w:rsidR="004C4AA1" w:rsidRPr="00C6720B">
          <w:rPr>
            <w:rStyle w:val="Hyperlink"/>
            <w:rFonts w:ascii="Times New Roman" w:hAnsi="Times New Roman"/>
            <w:sz w:val="20"/>
            <w:szCs w:val="20"/>
            <w:lang w:val="bg-BG"/>
          </w:rPr>
          <w:t>https://www.judiciary.gov.uk/wp-content/uploads/JCO/Documents/Speeches/lcj-birkenhead-lecture-21102013.pdf</w:t>
        </w:r>
      </w:hyperlink>
    </w:p>
  </w:footnote>
  <w:footnote w:id="11">
    <w:p w:rsidR="004C4AA1" w:rsidRDefault="004C4AA1" w:rsidP="00543F35">
      <w:pPr>
        <w:pStyle w:val="Footnote1"/>
        <w:shd w:val="clear" w:color="auto" w:fill="auto"/>
        <w:tabs>
          <w:tab w:val="left" w:pos="120"/>
        </w:tabs>
        <w:spacing w:line="240" w:lineRule="auto"/>
        <w:ind w:right="380"/>
      </w:pPr>
      <w:r w:rsidRPr="00C6720B">
        <w:rPr>
          <w:rStyle w:val="FootnoteReference"/>
          <w:rFonts w:ascii="Times New Roman" w:hAnsi="Times New Roman"/>
          <w:sz w:val="20"/>
          <w:szCs w:val="20"/>
        </w:rPr>
        <w:footnoteRef/>
      </w:r>
      <w:r w:rsidRPr="0080270B">
        <w:rPr>
          <w:rFonts w:ascii="Times New Roman" w:hAnsi="Times New Roman" w:cs="Times New Roman"/>
          <w:sz w:val="20"/>
          <w:szCs w:val="20"/>
          <w:lang w:val="ru-RU"/>
        </w:rPr>
        <w:t xml:space="preserve"> </w:t>
      </w:r>
      <w:r w:rsidRPr="00C6720B">
        <w:rPr>
          <w:rFonts w:ascii="Times New Roman" w:hAnsi="Times New Roman" w:cs="Times New Roman"/>
          <w:sz w:val="20"/>
          <w:szCs w:val="20"/>
          <w:lang w:val="bg-BG"/>
        </w:rPr>
        <w:t>Виж</w:t>
      </w:r>
      <w:r w:rsidRPr="0080270B">
        <w:rPr>
          <w:rFonts w:ascii="Times New Roman" w:hAnsi="Times New Roman" w:cs="Times New Roman"/>
          <w:sz w:val="20"/>
          <w:szCs w:val="20"/>
          <w:lang w:val="ru-RU"/>
        </w:rPr>
        <w:t xml:space="preserve">: </w:t>
      </w:r>
      <w:r w:rsidR="000E3DB9">
        <w:fldChar w:fldCharType="begin"/>
      </w:r>
      <w:r w:rsidR="000E3DB9">
        <w:instrText xml:space="preserve"> HYPERLINK "https://www.judiciary.gov.uk/wp-content/uploads/2015/02/0nline-Dispute-Resolution-Final-Web-Version1.pdf" </w:instrText>
      </w:r>
      <w:r w:rsidR="000E3DB9">
        <w:fldChar w:fldCharType="separate"/>
      </w:r>
      <w:r w:rsidRPr="00C6720B">
        <w:rPr>
          <w:rStyle w:val="Hyperlink"/>
          <w:rFonts w:ascii="Times New Roman" w:hAnsi="Times New Roman"/>
          <w:sz w:val="20"/>
          <w:szCs w:val="20"/>
        </w:rPr>
        <w:t>https</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www</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judiciary</w:t>
      </w:r>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gov</w:t>
      </w:r>
      <w:proofErr w:type="spellEnd"/>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uk</w:t>
      </w:r>
      <w:proofErr w:type="spellEnd"/>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wp</w:t>
      </w:r>
      <w:proofErr w:type="spellEnd"/>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content</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uploads</w:t>
      </w:r>
      <w:r w:rsidRPr="0080270B">
        <w:rPr>
          <w:rStyle w:val="Hyperlink"/>
          <w:rFonts w:ascii="Times New Roman" w:hAnsi="Times New Roman"/>
          <w:sz w:val="20"/>
          <w:szCs w:val="20"/>
          <w:lang w:val="ru-RU"/>
        </w:rPr>
        <w:t>/2015/02/0</w:t>
      </w:r>
      <w:proofErr w:type="spellStart"/>
      <w:r w:rsidRPr="00C6720B">
        <w:rPr>
          <w:rStyle w:val="Hyperlink"/>
          <w:rFonts w:ascii="Times New Roman" w:hAnsi="Times New Roman"/>
          <w:sz w:val="20"/>
          <w:szCs w:val="20"/>
        </w:rPr>
        <w:t>nline</w:t>
      </w:r>
      <w:proofErr w:type="spellEnd"/>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Dispute</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Resolution</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Final</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Web</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Version</w:t>
      </w:r>
      <w:r w:rsidRPr="0080270B">
        <w:rPr>
          <w:rStyle w:val="Hyperlink"/>
          <w:rFonts w:ascii="Times New Roman" w:hAnsi="Times New Roman"/>
          <w:sz w:val="20"/>
          <w:szCs w:val="20"/>
          <w:lang w:val="ru-RU"/>
        </w:rPr>
        <w:t>1.</w:t>
      </w:r>
      <w:r w:rsidRPr="00C6720B">
        <w:rPr>
          <w:rStyle w:val="Hyperlink"/>
          <w:rFonts w:ascii="Times New Roman" w:hAnsi="Times New Roman"/>
          <w:sz w:val="20"/>
          <w:szCs w:val="20"/>
        </w:rPr>
        <w:t>pdf</w:t>
      </w:r>
      <w:r w:rsidR="000E3DB9">
        <w:rPr>
          <w:rStyle w:val="Hyperlink"/>
          <w:rFonts w:ascii="Times New Roman" w:hAnsi="Times New Roman"/>
          <w:sz w:val="20"/>
          <w:szCs w:val="20"/>
        </w:rPr>
        <w:fldChar w:fldCharType="end"/>
      </w:r>
    </w:p>
  </w:footnote>
  <w:footnote w:id="12">
    <w:p w:rsidR="004C4AA1" w:rsidRDefault="004C4AA1">
      <w:pPr>
        <w:pStyle w:val="FootnoteText"/>
      </w:pPr>
      <w:r w:rsidRPr="00C6720B">
        <w:rPr>
          <w:rStyle w:val="FootnoteReference"/>
          <w:rFonts w:ascii="Times New Roman" w:hAnsi="Times New Roman"/>
        </w:rPr>
        <w:footnoteRef/>
      </w:r>
      <w:r w:rsidRPr="00C6720B">
        <w:rPr>
          <w:rFonts w:ascii="Times New Roman" w:hAnsi="Times New Roman" w:cs="Times New Roman"/>
          <w:lang w:val="bg-BG"/>
        </w:rPr>
        <w:t xml:space="preserve"> </w:t>
      </w:r>
      <w:r w:rsidRPr="00C6720B">
        <w:rPr>
          <w:rFonts w:ascii="Times New Roman" w:hAnsi="Times New Roman" w:cs="Times New Roman"/>
          <w:lang w:val="bg-BG"/>
        </w:rPr>
        <w:t>Виж</w:t>
      </w:r>
      <w:r w:rsidRPr="00C6720B">
        <w:rPr>
          <w:rFonts w:ascii="Times New Roman" w:hAnsi="Times New Roman" w:cs="Times New Roman"/>
        </w:rPr>
        <w:t xml:space="preserve">: </w:t>
      </w:r>
      <w:hyperlink r:id="rId3" w:history="1">
        <w:r w:rsidRPr="00C6720B">
          <w:rPr>
            <w:rStyle w:val="Hyperlink"/>
            <w:rFonts w:ascii="Times New Roman" w:hAnsi="Times New Roman"/>
          </w:rPr>
          <w:t>https://www.judiciary.gov.uk/wp-content/uploads /2015/01 /review-of-efficiency-in-criminal- proceedings-20151.pdf</w:t>
        </w:r>
      </w:hyperlink>
      <w:r w:rsidRPr="00C6720B">
        <w:rPr>
          <w:rFonts w:ascii="Times New Roman" w:hAnsi="Times New Roman" w:cs="Times New Roman"/>
        </w:rPr>
        <w:t>.</w:t>
      </w:r>
    </w:p>
  </w:footnote>
  <w:footnote w:id="13">
    <w:p w:rsidR="004C4AA1" w:rsidRDefault="004C4AA1" w:rsidP="00543F35">
      <w:pPr>
        <w:pStyle w:val="Footnote1"/>
        <w:shd w:val="clear" w:color="auto" w:fill="auto"/>
        <w:tabs>
          <w:tab w:val="left" w:pos="120"/>
        </w:tabs>
        <w:spacing w:line="240" w:lineRule="auto"/>
      </w:pPr>
      <w:r w:rsidRPr="00C6720B">
        <w:rPr>
          <w:rStyle w:val="FootnoteReference"/>
          <w:rFonts w:ascii="Times New Roman" w:hAnsi="Times New Roman"/>
          <w:sz w:val="20"/>
          <w:szCs w:val="20"/>
        </w:rPr>
        <w:footnoteRef/>
      </w:r>
      <w:r w:rsidRPr="00C6720B">
        <w:rPr>
          <w:rFonts w:ascii="Times New Roman" w:hAnsi="Times New Roman" w:cs="Times New Roman"/>
          <w:sz w:val="20"/>
          <w:szCs w:val="20"/>
          <w:lang w:val="bg-BG"/>
        </w:rPr>
        <w:t xml:space="preserve"> </w:t>
      </w:r>
      <w:r w:rsidRPr="00C6720B">
        <w:rPr>
          <w:rFonts w:ascii="Times New Roman" w:hAnsi="Times New Roman" w:cs="Times New Roman"/>
          <w:sz w:val="20"/>
          <w:szCs w:val="20"/>
          <w:lang w:val="bg-BG"/>
        </w:rPr>
        <w:t>Виж</w:t>
      </w:r>
      <w:r w:rsidRPr="00C6720B">
        <w:rPr>
          <w:rFonts w:ascii="Times New Roman" w:hAnsi="Times New Roman" w:cs="Times New Roman"/>
          <w:sz w:val="20"/>
          <w:szCs w:val="20"/>
        </w:rPr>
        <w:t xml:space="preserve">: </w:t>
      </w:r>
      <w:hyperlink r:id="rId4" w:history="1">
        <w:r w:rsidRPr="00C6720B">
          <w:rPr>
            <w:rStyle w:val="Hyperlink"/>
            <w:rFonts w:ascii="Times New Roman" w:hAnsi="Times New Roman"/>
            <w:sz w:val="20"/>
            <w:szCs w:val="20"/>
          </w:rPr>
          <w:t>http: //www.gresham.ac.uk/sites /default/files/25jun15stephenrichards civillitigation.docx</w:t>
        </w:r>
      </w:hyperlink>
      <w:r w:rsidRPr="00C6720B">
        <w:rPr>
          <w:rFonts w:ascii="Times New Roman" w:hAnsi="Times New Roman" w:cs="Times New Roman"/>
          <w:sz w:val="20"/>
          <w:szCs w:val="20"/>
        </w:rPr>
        <w:t>.</w:t>
      </w:r>
    </w:p>
  </w:footnote>
  <w:footnote w:id="14">
    <w:p w:rsidR="004C4AA1" w:rsidRDefault="004C4AA1" w:rsidP="00543F35">
      <w:pPr>
        <w:pStyle w:val="Footnote1"/>
        <w:shd w:val="clear" w:color="auto" w:fill="auto"/>
        <w:tabs>
          <w:tab w:val="left" w:pos="178"/>
        </w:tabs>
        <w:spacing w:line="240" w:lineRule="auto"/>
      </w:pPr>
      <w:r w:rsidRPr="005C34DF">
        <w:rPr>
          <w:rStyle w:val="FootnoteReference"/>
          <w:rFonts w:ascii="Times New Roman" w:hAnsi="Times New Roman"/>
          <w:sz w:val="20"/>
          <w:szCs w:val="20"/>
          <w:lang w:val="bg-BG"/>
        </w:rPr>
        <w:footnoteRef/>
      </w:r>
      <w:r w:rsidRPr="005C34DF">
        <w:rPr>
          <w:rFonts w:ascii="Times New Roman" w:hAnsi="Times New Roman" w:cs="Times New Roman"/>
          <w:sz w:val="20"/>
          <w:szCs w:val="20"/>
          <w:lang w:val="bg-BG"/>
        </w:rPr>
        <w:t xml:space="preserve"> </w:t>
      </w:r>
      <w:r w:rsidRPr="005C34DF">
        <w:rPr>
          <w:rFonts w:ascii="Times New Roman" w:hAnsi="Times New Roman" w:cs="Times New Roman"/>
          <w:sz w:val="20"/>
          <w:szCs w:val="20"/>
          <w:lang w:val="bg-BG"/>
        </w:rPr>
        <w:t>В допълнение към множество други реформи, които се въвеждат.</w:t>
      </w:r>
    </w:p>
  </w:footnote>
  <w:footnote w:id="15">
    <w:p w:rsidR="004C4AA1" w:rsidRDefault="004C4AA1" w:rsidP="00543F35">
      <w:pPr>
        <w:pStyle w:val="Footnote1"/>
        <w:shd w:val="clear" w:color="auto" w:fill="auto"/>
        <w:tabs>
          <w:tab w:val="left" w:pos="178"/>
        </w:tabs>
        <w:spacing w:line="240" w:lineRule="auto"/>
      </w:pPr>
      <w:r w:rsidRPr="00C6720B">
        <w:rPr>
          <w:rStyle w:val="FootnoteReference"/>
          <w:rFonts w:ascii="Times New Roman" w:hAnsi="Times New Roman"/>
          <w:sz w:val="20"/>
          <w:szCs w:val="20"/>
        </w:rPr>
        <w:footnoteRef/>
      </w:r>
      <w:r w:rsidRPr="0080270B">
        <w:rPr>
          <w:rFonts w:ascii="Times New Roman" w:hAnsi="Times New Roman" w:cs="Times New Roman"/>
          <w:sz w:val="20"/>
          <w:szCs w:val="20"/>
          <w:lang w:val="ru-RU"/>
        </w:rPr>
        <w:t xml:space="preserve"> </w:t>
      </w:r>
      <w:r w:rsidRPr="00C6720B">
        <w:rPr>
          <w:rFonts w:ascii="Times New Roman" w:hAnsi="Times New Roman" w:cs="Times New Roman"/>
          <w:sz w:val="20"/>
          <w:szCs w:val="20"/>
          <w:lang w:val="bg-BG"/>
        </w:rPr>
        <w:t>Виж</w:t>
      </w:r>
      <w:r w:rsidRPr="0080270B">
        <w:rPr>
          <w:rFonts w:ascii="Times New Roman" w:hAnsi="Times New Roman" w:cs="Times New Roman"/>
          <w:sz w:val="20"/>
          <w:szCs w:val="20"/>
          <w:lang w:val="ru-RU"/>
        </w:rPr>
        <w:t xml:space="preserve">: </w:t>
      </w:r>
      <w:r w:rsidR="000E3DB9">
        <w:fldChar w:fldCharType="begin"/>
      </w:r>
      <w:r w:rsidR="000E3DB9">
        <w:instrText xml:space="preserve"> HYPERLINK "http://2bquk8cdew6192tsu41lay8t.wpengine.netdna-cdn.com/wp-content/uploads/2015/04/TUSTICE-workinp--party-report-Deliverinp--Justice-in-an-Age-of-Aust</w:instrText>
      </w:r>
      <w:r w:rsidR="000E3DB9">
        <w:instrText xml:space="preserve">erity.pdf" </w:instrText>
      </w:r>
      <w:r w:rsidR="000E3DB9">
        <w:fldChar w:fldCharType="separate"/>
      </w:r>
      <w:r w:rsidRPr="00C6720B">
        <w:rPr>
          <w:rStyle w:val="Hyperlink"/>
          <w:rFonts w:ascii="Times New Roman" w:hAnsi="Times New Roman"/>
          <w:sz w:val="20"/>
          <w:szCs w:val="20"/>
        </w:rPr>
        <w:t>http</w:t>
      </w:r>
      <w:r w:rsidRPr="0080270B">
        <w:rPr>
          <w:rStyle w:val="Hyperlink"/>
          <w:rFonts w:ascii="Times New Roman" w:hAnsi="Times New Roman"/>
          <w:sz w:val="20"/>
          <w:szCs w:val="20"/>
          <w:lang w:val="ru-RU"/>
        </w:rPr>
        <w:t>://2</w:t>
      </w:r>
      <w:proofErr w:type="spellStart"/>
      <w:r w:rsidRPr="00C6720B">
        <w:rPr>
          <w:rStyle w:val="Hyperlink"/>
          <w:rFonts w:ascii="Times New Roman" w:hAnsi="Times New Roman"/>
          <w:sz w:val="20"/>
          <w:szCs w:val="20"/>
        </w:rPr>
        <w:t>bquk</w:t>
      </w:r>
      <w:proofErr w:type="spellEnd"/>
      <w:r w:rsidRPr="0080270B">
        <w:rPr>
          <w:rStyle w:val="Hyperlink"/>
          <w:rFonts w:ascii="Times New Roman" w:hAnsi="Times New Roman"/>
          <w:sz w:val="20"/>
          <w:szCs w:val="20"/>
          <w:lang w:val="ru-RU"/>
        </w:rPr>
        <w:t>8</w:t>
      </w:r>
      <w:proofErr w:type="spellStart"/>
      <w:r w:rsidRPr="00C6720B">
        <w:rPr>
          <w:rStyle w:val="Hyperlink"/>
          <w:rFonts w:ascii="Times New Roman" w:hAnsi="Times New Roman"/>
          <w:sz w:val="20"/>
          <w:szCs w:val="20"/>
        </w:rPr>
        <w:t>cdew</w:t>
      </w:r>
      <w:proofErr w:type="spellEnd"/>
      <w:r w:rsidRPr="0080270B">
        <w:rPr>
          <w:rStyle w:val="Hyperlink"/>
          <w:rFonts w:ascii="Times New Roman" w:hAnsi="Times New Roman"/>
          <w:sz w:val="20"/>
          <w:szCs w:val="20"/>
          <w:lang w:val="ru-RU"/>
        </w:rPr>
        <w:t>6192</w:t>
      </w:r>
      <w:proofErr w:type="spellStart"/>
      <w:r w:rsidRPr="00C6720B">
        <w:rPr>
          <w:rStyle w:val="Hyperlink"/>
          <w:rFonts w:ascii="Times New Roman" w:hAnsi="Times New Roman"/>
          <w:sz w:val="20"/>
          <w:szCs w:val="20"/>
        </w:rPr>
        <w:t>tsu</w:t>
      </w:r>
      <w:proofErr w:type="spellEnd"/>
      <w:r w:rsidRPr="0080270B">
        <w:rPr>
          <w:rStyle w:val="Hyperlink"/>
          <w:rFonts w:ascii="Times New Roman" w:hAnsi="Times New Roman"/>
          <w:sz w:val="20"/>
          <w:szCs w:val="20"/>
          <w:lang w:val="ru-RU"/>
        </w:rPr>
        <w:t>41</w:t>
      </w:r>
      <w:r w:rsidRPr="00C6720B">
        <w:rPr>
          <w:rStyle w:val="Hyperlink"/>
          <w:rFonts w:ascii="Times New Roman" w:hAnsi="Times New Roman"/>
          <w:sz w:val="20"/>
          <w:szCs w:val="20"/>
        </w:rPr>
        <w:t>lay</w:t>
      </w:r>
      <w:r w:rsidRPr="0080270B">
        <w:rPr>
          <w:rStyle w:val="Hyperlink"/>
          <w:rFonts w:ascii="Times New Roman" w:hAnsi="Times New Roman"/>
          <w:sz w:val="20"/>
          <w:szCs w:val="20"/>
          <w:lang w:val="ru-RU"/>
        </w:rPr>
        <w:t>8</w:t>
      </w:r>
      <w:r w:rsidRPr="00C6720B">
        <w:rPr>
          <w:rStyle w:val="Hyperlink"/>
          <w:rFonts w:ascii="Times New Roman" w:hAnsi="Times New Roman"/>
          <w:sz w:val="20"/>
          <w:szCs w:val="20"/>
        </w:rPr>
        <w:t>t</w:t>
      </w:r>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wpengine</w:t>
      </w:r>
      <w:proofErr w:type="spellEnd"/>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netdna</w:t>
      </w:r>
      <w:proofErr w:type="spellEnd"/>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cdn</w:t>
      </w:r>
      <w:proofErr w:type="spellEnd"/>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com</w:t>
      </w:r>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wp</w:t>
      </w:r>
      <w:proofErr w:type="spellEnd"/>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content</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uploads</w:t>
      </w:r>
      <w:r w:rsidRPr="0080270B">
        <w:rPr>
          <w:rStyle w:val="Hyperlink"/>
          <w:rFonts w:ascii="Times New Roman" w:hAnsi="Times New Roman"/>
          <w:sz w:val="20"/>
          <w:szCs w:val="20"/>
          <w:lang w:val="ru-RU"/>
        </w:rPr>
        <w:t>/2015/04/</w:t>
      </w:r>
      <w:r w:rsidRPr="00C6720B">
        <w:rPr>
          <w:rStyle w:val="Hyperlink"/>
          <w:rFonts w:ascii="Times New Roman" w:hAnsi="Times New Roman"/>
          <w:sz w:val="20"/>
          <w:szCs w:val="20"/>
        </w:rPr>
        <w:t>TUSTICE</w:t>
      </w:r>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workinp</w:t>
      </w:r>
      <w:proofErr w:type="spellEnd"/>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party</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report</w:t>
      </w:r>
      <w:r w:rsidRPr="0080270B">
        <w:rPr>
          <w:rStyle w:val="Hyperlink"/>
          <w:rFonts w:ascii="Times New Roman" w:hAnsi="Times New Roman"/>
          <w:sz w:val="20"/>
          <w:szCs w:val="20"/>
          <w:lang w:val="ru-RU"/>
        </w:rPr>
        <w:t>-</w:t>
      </w:r>
      <w:proofErr w:type="spellStart"/>
      <w:r w:rsidRPr="00C6720B">
        <w:rPr>
          <w:rStyle w:val="Hyperlink"/>
          <w:rFonts w:ascii="Times New Roman" w:hAnsi="Times New Roman"/>
          <w:sz w:val="20"/>
          <w:szCs w:val="20"/>
        </w:rPr>
        <w:t>Deliverinp</w:t>
      </w:r>
      <w:proofErr w:type="spellEnd"/>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Justice</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in</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an</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Age</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of</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Austerity</w:t>
      </w:r>
      <w:r w:rsidRPr="0080270B">
        <w:rPr>
          <w:rStyle w:val="Hyperlink"/>
          <w:rFonts w:ascii="Times New Roman" w:hAnsi="Times New Roman"/>
          <w:sz w:val="20"/>
          <w:szCs w:val="20"/>
          <w:lang w:val="ru-RU"/>
        </w:rPr>
        <w:t>.</w:t>
      </w:r>
      <w:r w:rsidRPr="00C6720B">
        <w:rPr>
          <w:rStyle w:val="Hyperlink"/>
          <w:rFonts w:ascii="Times New Roman" w:hAnsi="Times New Roman"/>
          <w:sz w:val="20"/>
          <w:szCs w:val="20"/>
        </w:rPr>
        <w:t>pdf</w:t>
      </w:r>
      <w:r w:rsidR="000E3DB9">
        <w:rPr>
          <w:rStyle w:val="Hyperlink"/>
          <w:rFonts w:ascii="Times New Roman" w:hAnsi="Times New Roman"/>
          <w:sz w:val="20"/>
          <w:szCs w:val="20"/>
        </w:rPr>
        <w:fldChar w:fldCharType="end"/>
      </w:r>
    </w:p>
  </w:footnote>
  <w:footnote w:id="16">
    <w:p w:rsidR="004C4AA1" w:rsidRDefault="004C4AA1" w:rsidP="000D377D">
      <w:pPr>
        <w:pStyle w:val="FootnoteText"/>
      </w:pPr>
      <w:r w:rsidRPr="00C6720B">
        <w:rPr>
          <w:rStyle w:val="FootnoteReference"/>
          <w:rFonts w:ascii="Times New Roman" w:hAnsi="Times New Roman"/>
        </w:rPr>
        <w:footnoteRef/>
      </w:r>
      <w:r>
        <w:rPr>
          <w:rFonts w:ascii="Times New Roman" w:hAnsi="Times New Roman" w:cs="Times New Roman"/>
        </w:rPr>
        <w:t xml:space="preserve"> </w:t>
      </w:r>
      <w:proofErr w:type="gramStart"/>
      <w:r>
        <w:rPr>
          <w:rFonts w:ascii="Times New Roman" w:hAnsi="Times New Roman" w:cs="Times New Roman"/>
        </w:rPr>
        <w:t>Magna Carta 1297 (гл</w:t>
      </w:r>
      <w:r w:rsidRPr="00C6720B">
        <w:rPr>
          <w:rFonts w:ascii="Times New Roman" w:hAnsi="Times New Roman" w:cs="Times New Roman"/>
        </w:rPr>
        <w:t>.9).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A1" w:rsidRDefault="004C4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808"/>
    <w:multiLevelType w:val="hybridMultilevel"/>
    <w:tmpl w:val="3920E998"/>
    <w:lvl w:ilvl="0" w:tplc="C50E42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F454EF"/>
    <w:multiLevelType w:val="multilevel"/>
    <w:tmpl w:val="5A1EC67C"/>
    <w:lvl w:ilvl="0">
      <w:start w:val="1"/>
      <w:numFmt w:val="lowerRoman"/>
      <w:lvlText w:val="%1."/>
      <w:lvlJc w:val="left"/>
      <w:rPr>
        <w:rFonts w:ascii="Garamond" w:eastAsia="Times New Roman" w:hAnsi="Garamond" w:cs="Calibri"/>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D165BC"/>
    <w:multiLevelType w:val="multilevel"/>
    <w:tmpl w:val="DA5A3840"/>
    <w:lvl w:ilvl="0">
      <w:start w:val="1"/>
      <w:numFmt w:val="decimal"/>
      <w:lvlText w:val="%1."/>
      <w:lvlJc w:val="left"/>
      <w:rPr>
        <w:rFonts w:ascii="Times New Roman" w:eastAsia="Times New Roman" w:hAnsi="Times New Roman" w:cs="Calibri"/>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A9C2E4D"/>
    <w:multiLevelType w:val="multilevel"/>
    <w:tmpl w:val="E256B10E"/>
    <w:lvl w:ilvl="0">
      <w:start w:val="39"/>
      <w:numFmt w:val="decimal"/>
      <w:lvlText w:val="(%1)"/>
      <w:lvlJc w:val="left"/>
      <w:rPr>
        <w:rFonts w:ascii="Garamond" w:eastAsia="Times New Roman" w:hAnsi="Garamond" w:cs="Calibri"/>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DBF65BD"/>
    <w:multiLevelType w:val="multilevel"/>
    <w:tmpl w:val="874CF1FE"/>
    <w:lvl w:ilvl="0">
      <w:start w:val="1"/>
      <w:numFmt w:val="lowerRoman"/>
      <w:lvlText w:val="%1."/>
      <w:lvlJc w:val="left"/>
      <w:rPr>
        <w:rFonts w:ascii="Garamond" w:eastAsia="Times New Roman" w:hAnsi="Garamond" w:cs="Calibri"/>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6A"/>
    <w:rsid w:val="000124C5"/>
    <w:rsid w:val="00021CA3"/>
    <w:rsid w:val="0002303E"/>
    <w:rsid w:val="000513EE"/>
    <w:rsid w:val="0006319C"/>
    <w:rsid w:val="0006763C"/>
    <w:rsid w:val="00072231"/>
    <w:rsid w:val="00086E79"/>
    <w:rsid w:val="000A1279"/>
    <w:rsid w:val="000C0DAA"/>
    <w:rsid w:val="000C42C9"/>
    <w:rsid w:val="000D377D"/>
    <w:rsid w:val="000E3DB9"/>
    <w:rsid w:val="00110C9D"/>
    <w:rsid w:val="001437E6"/>
    <w:rsid w:val="0017089C"/>
    <w:rsid w:val="001827BA"/>
    <w:rsid w:val="001A583F"/>
    <w:rsid w:val="001B492B"/>
    <w:rsid w:val="001B4A62"/>
    <w:rsid w:val="001B64D4"/>
    <w:rsid w:val="001F53F9"/>
    <w:rsid w:val="002371FF"/>
    <w:rsid w:val="00242A4F"/>
    <w:rsid w:val="0025317F"/>
    <w:rsid w:val="00285E1D"/>
    <w:rsid w:val="00286D31"/>
    <w:rsid w:val="00292028"/>
    <w:rsid w:val="002B6DCF"/>
    <w:rsid w:val="002C09AD"/>
    <w:rsid w:val="002D40AA"/>
    <w:rsid w:val="002D5B18"/>
    <w:rsid w:val="002E4D62"/>
    <w:rsid w:val="00300642"/>
    <w:rsid w:val="00343A03"/>
    <w:rsid w:val="0035156B"/>
    <w:rsid w:val="003A3628"/>
    <w:rsid w:val="003C0348"/>
    <w:rsid w:val="003C506A"/>
    <w:rsid w:val="003C6B83"/>
    <w:rsid w:val="003F49E6"/>
    <w:rsid w:val="00407A11"/>
    <w:rsid w:val="0041143F"/>
    <w:rsid w:val="004127E5"/>
    <w:rsid w:val="00420E63"/>
    <w:rsid w:val="00430066"/>
    <w:rsid w:val="004475A4"/>
    <w:rsid w:val="00447E0B"/>
    <w:rsid w:val="0045631A"/>
    <w:rsid w:val="0046585D"/>
    <w:rsid w:val="004747CD"/>
    <w:rsid w:val="004C4AA1"/>
    <w:rsid w:val="004E33D2"/>
    <w:rsid w:val="004F1B29"/>
    <w:rsid w:val="004F2E36"/>
    <w:rsid w:val="004F6A65"/>
    <w:rsid w:val="0052194D"/>
    <w:rsid w:val="0052456C"/>
    <w:rsid w:val="005370A4"/>
    <w:rsid w:val="00542382"/>
    <w:rsid w:val="00543F35"/>
    <w:rsid w:val="005657DC"/>
    <w:rsid w:val="00567B10"/>
    <w:rsid w:val="00572557"/>
    <w:rsid w:val="0058332F"/>
    <w:rsid w:val="005858FC"/>
    <w:rsid w:val="0058610B"/>
    <w:rsid w:val="005A39BD"/>
    <w:rsid w:val="005A5EB3"/>
    <w:rsid w:val="005C34DF"/>
    <w:rsid w:val="005D476C"/>
    <w:rsid w:val="005E28E9"/>
    <w:rsid w:val="00606F3A"/>
    <w:rsid w:val="00634E43"/>
    <w:rsid w:val="00660EF3"/>
    <w:rsid w:val="00682886"/>
    <w:rsid w:val="006B0C03"/>
    <w:rsid w:val="006C4704"/>
    <w:rsid w:val="006C7C02"/>
    <w:rsid w:val="00712BE5"/>
    <w:rsid w:val="00715E07"/>
    <w:rsid w:val="00720CCE"/>
    <w:rsid w:val="007215A3"/>
    <w:rsid w:val="00730063"/>
    <w:rsid w:val="00736CB1"/>
    <w:rsid w:val="00760659"/>
    <w:rsid w:val="0079439A"/>
    <w:rsid w:val="00794EBF"/>
    <w:rsid w:val="007A0C83"/>
    <w:rsid w:val="007C2191"/>
    <w:rsid w:val="007D677C"/>
    <w:rsid w:val="007F7BDB"/>
    <w:rsid w:val="00800E6F"/>
    <w:rsid w:val="0080270B"/>
    <w:rsid w:val="008272CB"/>
    <w:rsid w:val="008711C8"/>
    <w:rsid w:val="0088738D"/>
    <w:rsid w:val="008B7A45"/>
    <w:rsid w:val="008D3675"/>
    <w:rsid w:val="008D3B49"/>
    <w:rsid w:val="008D5BA9"/>
    <w:rsid w:val="008D753D"/>
    <w:rsid w:val="008F4F90"/>
    <w:rsid w:val="00910EC6"/>
    <w:rsid w:val="00916D3F"/>
    <w:rsid w:val="00942DDE"/>
    <w:rsid w:val="00943843"/>
    <w:rsid w:val="009621BB"/>
    <w:rsid w:val="00963B8F"/>
    <w:rsid w:val="00974891"/>
    <w:rsid w:val="00982F1D"/>
    <w:rsid w:val="009A0DF7"/>
    <w:rsid w:val="009B32A1"/>
    <w:rsid w:val="009F4344"/>
    <w:rsid w:val="00A20E65"/>
    <w:rsid w:val="00A32C34"/>
    <w:rsid w:val="00A337DF"/>
    <w:rsid w:val="00A427FD"/>
    <w:rsid w:val="00A4462F"/>
    <w:rsid w:val="00A449EF"/>
    <w:rsid w:val="00A50280"/>
    <w:rsid w:val="00A54BD5"/>
    <w:rsid w:val="00A5707D"/>
    <w:rsid w:val="00A6400C"/>
    <w:rsid w:val="00A751F5"/>
    <w:rsid w:val="00A9448C"/>
    <w:rsid w:val="00AB3985"/>
    <w:rsid w:val="00AB6355"/>
    <w:rsid w:val="00AC1B09"/>
    <w:rsid w:val="00AC6C10"/>
    <w:rsid w:val="00AE7637"/>
    <w:rsid w:val="00B14E0D"/>
    <w:rsid w:val="00B21052"/>
    <w:rsid w:val="00B66871"/>
    <w:rsid w:val="00B73830"/>
    <w:rsid w:val="00B76CEE"/>
    <w:rsid w:val="00B803E4"/>
    <w:rsid w:val="00B95ABB"/>
    <w:rsid w:val="00BA6AC4"/>
    <w:rsid w:val="00BA77E5"/>
    <w:rsid w:val="00BD7F29"/>
    <w:rsid w:val="00BE743A"/>
    <w:rsid w:val="00C14F0D"/>
    <w:rsid w:val="00C1791D"/>
    <w:rsid w:val="00C454DB"/>
    <w:rsid w:val="00C45E9C"/>
    <w:rsid w:val="00C4608D"/>
    <w:rsid w:val="00C551DD"/>
    <w:rsid w:val="00C6720B"/>
    <w:rsid w:val="00C75E86"/>
    <w:rsid w:val="00CA1774"/>
    <w:rsid w:val="00CA2990"/>
    <w:rsid w:val="00CA38A9"/>
    <w:rsid w:val="00CF28C4"/>
    <w:rsid w:val="00D169D0"/>
    <w:rsid w:val="00D71549"/>
    <w:rsid w:val="00D72E4E"/>
    <w:rsid w:val="00D77A20"/>
    <w:rsid w:val="00DE2A16"/>
    <w:rsid w:val="00DE36FD"/>
    <w:rsid w:val="00E25057"/>
    <w:rsid w:val="00E3123F"/>
    <w:rsid w:val="00E41302"/>
    <w:rsid w:val="00E5527F"/>
    <w:rsid w:val="00E64560"/>
    <w:rsid w:val="00E74CF8"/>
    <w:rsid w:val="00E81831"/>
    <w:rsid w:val="00E94F1B"/>
    <w:rsid w:val="00EA18F5"/>
    <w:rsid w:val="00EA1F26"/>
    <w:rsid w:val="00EC1F41"/>
    <w:rsid w:val="00EE2330"/>
    <w:rsid w:val="00F12436"/>
    <w:rsid w:val="00F172D2"/>
    <w:rsid w:val="00F70E80"/>
    <w:rsid w:val="00F80411"/>
    <w:rsid w:val="00FA183C"/>
    <w:rsid w:val="00FB223E"/>
    <w:rsid w:val="00FF14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63"/>
    <w:pPr>
      <w:widowControl w:val="0"/>
    </w:pPr>
    <w:rPr>
      <w:color w:val="000000"/>
      <w:sz w:val="24"/>
      <w:szCs w:val="24"/>
      <w:lang w:val="en-GB" w:eastAsia="en-GB" w:bidi="my-M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0063"/>
    <w:rPr>
      <w:rFonts w:cs="Times New Roman"/>
      <w:color w:val="0066CC"/>
      <w:u w:val="single"/>
    </w:rPr>
  </w:style>
  <w:style w:type="character" w:customStyle="1" w:styleId="Picturecaption">
    <w:name w:val="Picture caption_"/>
    <w:basedOn w:val="DefaultParagraphFont"/>
    <w:link w:val="Picturecaption0"/>
    <w:uiPriority w:val="99"/>
    <w:locked/>
    <w:rsid w:val="00730063"/>
    <w:rPr>
      <w:rFonts w:ascii="Garamond" w:eastAsia="Times New Roman" w:hAnsi="Garamond" w:cs="Garamond"/>
      <w:b/>
      <w:bCs/>
      <w:spacing w:val="10"/>
      <w:sz w:val="20"/>
      <w:szCs w:val="20"/>
      <w:u w:val="none"/>
    </w:rPr>
  </w:style>
  <w:style w:type="character" w:customStyle="1" w:styleId="PicturecaptionSmallCaps">
    <w:name w:val="Picture caption + Small Caps"/>
    <w:basedOn w:val="Picturecaption"/>
    <w:uiPriority w:val="99"/>
    <w:rsid w:val="00730063"/>
    <w:rPr>
      <w:rFonts w:ascii="Garamond" w:eastAsia="Times New Roman" w:hAnsi="Garamond" w:cs="Garamond"/>
      <w:b/>
      <w:bCs/>
      <w:smallCaps/>
      <w:color w:val="000000"/>
      <w:spacing w:val="10"/>
      <w:w w:val="100"/>
      <w:position w:val="0"/>
      <w:sz w:val="20"/>
      <w:szCs w:val="20"/>
      <w:u w:val="none"/>
      <w:lang w:val="en-GB"/>
    </w:rPr>
  </w:style>
  <w:style w:type="character" w:customStyle="1" w:styleId="Bodytext2">
    <w:name w:val="Body text (2)_"/>
    <w:basedOn w:val="DefaultParagraphFont"/>
    <w:link w:val="Bodytext20"/>
    <w:uiPriority w:val="99"/>
    <w:locked/>
    <w:rsid w:val="00730063"/>
    <w:rPr>
      <w:rFonts w:ascii="Garamond" w:eastAsia="Times New Roman" w:hAnsi="Garamond" w:cs="Garamond"/>
      <w:b/>
      <w:bCs/>
      <w:spacing w:val="5"/>
      <w:sz w:val="22"/>
      <w:szCs w:val="22"/>
      <w:u w:val="none"/>
    </w:rPr>
  </w:style>
  <w:style w:type="character" w:customStyle="1" w:styleId="Bodytext2SmallCaps">
    <w:name w:val="Body text (2) + Small Caps"/>
    <w:basedOn w:val="Bodytext2"/>
    <w:uiPriority w:val="99"/>
    <w:rsid w:val="00730063"/>
    <w:rPr>
      <w:rFonts w:ascii="Garamond" w:eastAsia="Times New Roman" w:hAnsi="Garamond" w:cs="Garamond"/>
      <w:b/>
      <w:bCs/>
      <w:smallCaps/>
      <w:color w:val="000000"/>
      <w:spacing w:val="5"/>
      <w:w w:val="100"/>
      <w:position w:val="0"/>
      <w:sz w:val="22"/>
      <w:szCs w:val="22"/>
      <w:u w:val="none"/>
      <w:lang w:val="en-GB"/>
    </w:rPr>
  </w:style>
  <w:style w:type="character" w:customStyle="1" w:styleId="Bodytext212pt">
    <w:name w:val="Body text (2) + 12 pt"/>
    <w:basedOn w:val="Bodytext2"/>
    <w:uiPriority w:val="99"/>
    <w:rsid w:val="00730063"/>
    <w:rPr>
      <w:rFonts w:ascii="Garamond" w:eastAsia="Times New Roman" w:hAnsi="Garamond" w:cs="Garamond"/>
      <w:b/>
      <w:bCs/>
      <w:color w:val="000000"/>
      <w:spacing w:val="5"/>
      <w:w w:val="100"/>
      <w:position w:val="0"/>
      <w:sz w:val="24"/>
      <w:szCs w:val="24"/>
      <w:u w:val="none"/>
      <w:lang w:val="en-GB"/>
    </w:rPr>
  </w:style>
  <w:style w:type="character" w:customStyle="1" w:styleId="Heading1">
    <w:name w:val="Heading #1_"/>
    <w:basedOn w:val="DefaultParagraphFont"/>
    <w:link w:val="Heading10"/>
    <w:uiPriority w:val="99"/>
    <w:locked/>
    <w:rsid w:val="00730063"/>
    <w:rPr>
      <w:rFonts w:ascii="Garamond" w:eastAsia="Times New Roman" w:hAnsi="Garamond" w:cs="Garamond"/>
      <w:b/>
      <w:bCs/>
      <w:spacing w:val="5"/>
      <w:u w:val="none"/>
    </w:rPr>
  </w:style>
  <w:style w:type="character" w:customStyle="1" w:styleId="Bodytext">
    <w:name w:val="Body text_"/>
    <w:basedOn w:val="DefaultParagraphFont"/>
    <w:link w:val="BodyText21"/>
    <w:uiPriority w:val="99"/>
    <w:locked/>
    <w:rsid w:val="00730063"/>
    <w:rPr>
      <w:rFonts w:ascii="Garamond" w:eastAsia="Times New Roman" w:hAnsi="Garamond" w:cs="Garamond"/>
      <w:spacing w:val="2"/>
      <w:sz w:val="25"/>
      <w:szCs w:val="25"/>
      <w:u w:val="none"/>
    </w:rPr>
  </w:style>
  <w:style w:type="character" w:customStyle="1" w:styleId="Headerorfooter">
    <w:name w:val="Header or footer_"/>
    <w:basedOn w:val="DefaultParagraphFont"/>
    <w:link w:val="Headerorfooter0"/>
    <w:uiPriority w:val="99"/>
    <w:locked/>
    <w:rsid w:val="00730063"/>
    <w:rPr>
      <w:rFonts w:ascii="Garamond" w:eastAsia="Times New Roman" w:hAnsi="Garamond" w:cs="Garamond"/>
      <w:spacing w:val="14"/>
      <w:sz w:val="21"/>
      <w:szCs w:val="21"/>
      <w:u w:val="none"/>
    </w:rPr>
  </w:style>
  <w:style w:type="character" w:customStyle="1" w:styleId="Footnote">
    <w:name w:val="Footnote_"/>
    <w:basedOn w:val="DefaultParagraphFont"/>
    <w:link w:val="Footnote1"/>
    <w:uiPriority w:val="99"/>
    <w:locked/>
    <w:rsid w:val="00730063"/>
    <w:rPr>
      <w:rFonts w:ascii="Garamond" w:eastAsia="Times New Roman" w:hAnsi="Garamond" w:cs="Garamond"/>
      <w:spacing w:val="2"/>
      <w:sz w:val="17"/>
      <w:szCs w:val="17"/>
      <w:u w:val="none"/>
    </w:rPr>
  </w:style>
  <w:style w:type="character" w:customStyle="1" w:styleId="FootnoteItalic">
    <w:name w:val="Footnote + Italic"/>
    <w:aliases w:val="Spacing 0 pt"/>
    <w:basedOn w:val="Footnote"/>
    <w:uiPriority w:val="99"/>
    <w:rsid w:val="00730063"/>
    <w:rPr>
      <w:rFonts w:ascii="Garamond" w:eastAsia="Times New Roman" w:hAnsi="Garamond" w:cs="Garamond"/>
      <w:i/>
      <w:iCs/>
      <w:color w:val="000000"/>
      <w:spacing w:val="-2"/>
      <w:w w:val="100"/>
      <w:position w:val="0"/>
      <w:sz w:val="17"/>
      <w:szCs w:val="17"/>
      <w:u w:val="none"/>
      <w:lang w:val="en-GB"/>
    </w:rPr>
  </w:style>
  <w:style w:type="character" w:customStyle="1" w:styleId="Bodytext3">
    <w:name w:val="Body text (3)_"/>
    <w:basedOn w:val="DefaultParagraphFont"/>
    <w:link w:val="Bodytext30"/>
    <w:uiPriority w:val="99"/>
    <w:locked/>
    <w:rsid w:val="00730063"/>
    <w:rPr>
      <w:rFonts w:ascii="Garamond" w:eastAsia="Times New Roman" w:hAnsi="Garamond" w:cs="Garamond"/>
      <w:b/>
      <w:bCs/>
      <w:spacing w:val="5"/>
      <w:u w:val="none"/>
    </w:rPr>
  </w:style>
  <w:style w:type="character" w:customStyle="1" w:styleId="Footnote2">
    <w:name w:val="Footnote (2)_"/>
    <w:basedOn w:val="DefaultParagraphFont"/>
    <w:link w:val="Footnote20"/>
    <w:uiPriority w:val="99"/>
    <w:locked/>
    <w:rsid w:val="00730063"/>
    <w:rPr>
      <w:rFonts w:ascii="Garamond" w:eastAsia="Times New Roman" w:hAnsi="Garamond" w:cs="Garamond"/>
      <w:i/>
      <w:iCs/>
      <w:spacing w:val="-2"/>
      <w:sz w:val="17"/>
      <w:szCs w:val="17"/>
      <w:u w:val="none"/>
    </w:rPr>
  </w:style>
  <w:style w:type="character" w:customStyle="1" w:styleId="Footnote2NotItalic">
    <w:name w:val="Footnote (2) + Not Italic"/>
    <w:aliases w:val="Spacing 0 pt1"/>
    <w:basedOn w:val="Footnote2"/>
    <w:uiPriority w:val="99"/>
    <w:rsid w:val="00730063"/>
    <w:rPr>
      <w:rFonts w:ascii="Garamond" w:eastAsia="Times New Roman" w:hAnsi="Garamond" w:cs="Garamond"/>
      <w:i/>
      <w:iCs/>
      <w:color w:val="000000"/>
      <w:spacing w:val="2"/>
      <w:w w:val="100"/>
      <w:position w:val="0"/>
      <w:sz w:val="17"/>
      <w:szCs w:val="17"/>
      <w:u w:val="none"/>
      <w:lang w:val="en-GB"/>
    </w:rPr>
  </w:style>
  <w:style w:type="character" w:customStyle="1" w:styleId="Heading2">
    <w:name w:val="Heading #2_"/>
    <w:basedOn w:val="DefaultParagraphFont"/>
    <w:link w:val="Heading20"/>
    <w:uiPriority w:val="99"/>
    <w:locked/>
    <w:rsid w:val="00730063"/>
    <w:rPr>
      <w:rFonts w:ascii="Garamond" w:eastAsia="Times New Roman" w:hAnsi="Garamond" w:cs="Garamond"/>
      <w:b/>
      <w:bCs/>
      <w:spacing w:val="5"/>
      <w:u w:val="none"/>
    </w:rPr>
  </w:style>
  <w:style w:type="character" w:customStyle="1" w:styleId="Bodytext4">
    <w:name w:val="Body text (4)_"/>
    <w:basedOn w:val="DefaultParagraphFont"/>
    <w:link w:val="Bodytext40"/>
    <w:uiPriority w:val="99"/>
    <w:locked/>
    <w:rsid w:val="00730063"/>
    <w:rPr>
      <w:rFonts w:ascii="Garamond" w:eastAsia="Times New Roman" w:hAnsi="Garamond" w:cs="Garamond"/>
      <w:i/>
      <w:iCs/>
      <w:spacing w:val="2"/>
      <w:sz w:val="25"/>
      <w:szCs w:val="25"/>
      <w:u w:val="none"/>
    </w:rPr>
  </w:style>
  <w:style w:type="character" w:customStyle="1" w:styleId="Footnote0">
    <w:name w:val="Footnote"/>
    <w:basedOn w:val="Footnote"/>
    <w:uiPriority w:val="99"/>
    <w:rsid w:val="00730063"/>
    <w:rPr>
      <w:rFonts w:ascii="Garamond" w:eastAsia="Times New Roman" w:hAnsi="Garamond" w:cs="Garamond"/>
      <w:color w:val="000000"/>
      <w:spacing w:val="2"/>
      <w:w w:val="100"/>
      <w:position w:val="0"/>
      <w:sz w:val="17"/>
      <w:szCs w:val="17"/>
      <w:u w:val="single"/>
      <w:lang w:val="en-GB"/>
    </w:rPr>
  </w:style>
  <w:style w:type="character" w:customStyle="1" w:styleId="Footnote21">
    <w:name w:val="Footnote2"/>
    <w:basedOn w:val="Footnote"/>
    <w:uiPriority w:val="99"/>
    <w:rsid w:val="00730063"/>
    <w:rPr>
      <w:rFonts w:ascii="Garamond" w:eastAsia="Times New Roman" w:hAnsi="Garamond" w:cs="Garamond"/>
      <w:color w:val="000000"/>
      <w:spacing w:val="2"/>
      <w:w w:val="100"/>
      <w:position w:val="0"/>
      <w:sz w:val="17"/>
      <w:szCs w:val="17"/>
      <w:u w:val="none"/>
    </w:rPr>
  </w:style>
  <w:style w:type="character" w:customStyle="1" w:styleId="BodyText1">
    <w:name w:val="Body Text1"/>
    <w:basedOn w:val="Bodytext"/>
    <w:uiPriority w:val="99"/>
    <w:rsid w:val="00730063"/>
    <w:rPr>
      <w:rFonts w:ascii="Garamond" w:eastAsia="Times New Roman" w:hAnsi="Garamond" w:cs="Garamond"/>
      <w:color w:val="000000"/>
      <w:spacing w:val="2"/>
      <w:w w:val="100"/>
      <w:position w:val="0"/>
      <w:sz w:val="25"/>
      <w:szCs w:val="25"/>
      <w:u w:val="none"/>
      <w:lang w:val="en-GB"/>
    </w:rPr>
  </w:style>
  <w:style w:type="character" w:customStyle="1" w:styleId="Bodytext5">
    <w:name w:val="Body text (5)_"/>
    <w:basedOn w:val="DefaultParagraphFont"/>
    <w:link w:val="Bodytext50"/>
    <w:uiPriority w:val="99"/>
    <w:locked/>
    <w:rsid w:val="00730063"/>
    <w:rPr>
      <w:rFonts w:ascii="Calibri" w:eastAsia="Times New Roman" w:hAnsi="Calibri" w:cs="Calibri"/>
      <w:b/>
      <w:bCs/>
      <w:spacing w:val="2"/>
      <w:sz w:val="19"/>
      <w:szCs w:val="19"/>
      <w:u w:val="none"/>
    </w:rPr>
  </w:style>
  <w:style w:type="paragraph" w:customStyle="1" w:styleId="Picturecaption0">
    <w:name w:val="Picture caption"/>
    <w:basedOn w:val="Normal"/>
    <w:link w:val="Picturecaption"/>
    <w:uiPriority w:val="99"/>
    <w:rsid w:val="00730063"/>
    <w:pPr>
      <w:shd w:val="clear" w:color="auto" w:fill="FFFFFF"/>
      <w:spacing w:line="299" w:lineRule="exact"/>
      <w:jc w:val="center"/>
    </w:pPr>
    <w:rPr>
      <w:rFonts w:ascii="Garamond" w:hAnsi="Garamond" w:cs="Garamond"/>
      <w:b/>
      <w:bCs/>
      <w:spacing w:val="10"/>
      <w:sz w:val="20"/>
      <w:szCs w:val="20"/>
    </w:rPr>
  </w:style>
  <w:style w:type="paragraph" w:customStyle="1" w:styleId="Bodytext20">
    <w:name w:val="Body text (2)"/>
    <w:basedOn w:val="Normal"/>
    <w:link w:val="Bodytext2"/>
    <w:uiPriority w:val="99"/>
    <w:rsid w:val="00730063"/>
    <w:pPr>
      <w:shd w:val="clear" w:color="auto" w:fill="FFFFFF"/>
      <w:spacing w:before="480" w:after="240" w:line="314" w:lineRule="exact"/>
      <w:jc w:val="center"/>
    </w:pPr>
    <w:rPr>
      <w:rFonts w:ascii="Garamond" w:hAnsi="Garamond" w:cs="Garamond"/>
      <w:b/>
      <w:bCs/>
      <w:spacing w:val="5"/>
      <w:sz w:val="22"/>
      <w:szCs w:val="22"/>
    </w:rPr>
  </w:style>
  <w:style w:type="paragraph" w:customStyle="1" w:styleId="Heading10">
    <w:name w:val="Heading #1"/>
    <w:basedOn w:val="Normal"/>
    <w:link w:val="Heading1"/>
    <w:uiPriority w:val="99"/>
    <w:rsid w:val="00730063"/>
    <w:pPr>
      <w:shd w:val="clear" w:color="auto" w:fill="FFFFFF"/>
      <w:spacing w:before="540" w:after="720" w:line="240" w:lineRule="atLeast"/>
      <w:ind w:hanging="360"/>
      <w:jc w:val="both"/>
      <w:outlineLvl w:val="0"/>
    </w:pPr>
    <w:rPr>
      <w:rFonts w:ascii="Garamond" w:hAnsi="Garamond" w:cs="Garamond"/>
      <w:b/>
      <w:bCs/>
      <w:spacing w:val="5"/>
    </w:rPr>
  </w:style>
  <w:style w:type="paragraph" w:customStyle="1" w:styleId="BodyText21">
    <w:name w:val="Body Text2"/>
    <w:basedOn w:val="Normal"/>
    <w:link w:val="Bodytext"/>
    <w:uiPriority w:val="99"/>
    <w:rsid w:val="00730063"/>
    <w:pPr>
      <w:shd w:val="clear" w:color="auto" w:fill="FFFFFF"/>
      <w:spacing w:before="720" w:after="480" w:line="470" w:lineRule="exact"/>
      <w:ind w:hanging="700"/>
      <w:jc w:val="both"/>
    </w:pPr>
    <w:rPr>
      <w:rFonts w:ascii="Garamond" w:hAnsi="Garamond" w:cs="Garamond"/>
      <w:spacing w:val="2"/>
      <w:sz w:val="25"/>
      <w:szCs w:val="25"/>
    </w:rPr>
  </w:style>
  <w:style w:type="paragraph" w:customStyle="1" w:styleId="Headerorfooter0">
    <w:name w:val="Header or footer"/>
    <w:basedOn w:val="Normal"/>
    <w:link w:val="Headerorfooter"/>
    <w:uiPriority w:val="99"/>
    <w:rsid w:val="00730063"/>
    <w:pPr>
      <w:shd w:val="clear" w:color="auto" w:fill="FFFFFF"/>
      <w:spacing w:line="240" w:lineRule="atLeast"/>
    </w:pPr>
    <w:rPr>
      <w:rFonts w:ascii="Garamond" w:hAnsi="Garamond" w:cs="Garamond"/>
      <w:spacing w:val="14"/>
      <w:sz w:val="21"/>
      <w:szCs w:val="21"/>
    </w:rPr>
  </w:style>
  <w:style w:type="paragraph" w:customStyle="1" w:styleId="Footnote1">
    <w:name w:val="Footnote1"/>
    <w:basedOn w:val="Normal"/>
    <w:link w:val="Footnote"/>
    <w:uiPriority w:val="99"/>
    <w:rsid w:val="00730063"/>
    <w:pPr>
      <w:shd w:val="clear" w:color="auto" w:fill="FFFFFF"/>
      <w:spacing w:line="240" w:lineRule="atLeast"/>
    </w:pPr>
    <w:rPr>
      <w:rFonts w:ascii="Garamond" w:hAnsi="Garamond" w:cs="Garamond"/>
      <w:spacing w:val="2"/>
      <w:sz w:val="17"/>
      <w:szCs w:val="17"/>
    </w:rPr>
  </w:style>
  <w:style w:type="paragraph" w:customStyle="1" w:styleId="Bodytext30">
    <w:name w:val="Body text (3)"/>
    <w:basedOn w:val="Normal"/>
    <w:link w:val="Bodytext3"/>
    <w:uiPriority w:val="99"/>
    <w:rsid w:val="00730063"/>
    <w:pPr>
      <w:shd w:val="clear" w:color="auto" w:fill="FFFFFF"/>
      <w:spacing w:after="720" w:line="240" w:lineRule="atLeast"/>
      <w:ind w:hanging="380"/>
      <w:jc w:val="both"/>
    </w:pPr>
    <w:rPr>
      <w:rFonts w:ascii="Garamond" w:hAnsi="Garamond" w:cs="Garamond"/>
      <w:b/>
      <w:bCs/>
      <w:spacing w:val="5"/>
    </w:rPr>
  </w:style>
  <w:style w:type="paragraph" w:customStyle="1" w:styleId="Footnote20">
    <w:name w:val="Footnote (2)"/>
    <w:basedOn w:val="Normal"/>
    <w:link w:val="Footnote2"/>
    <w:uiPriority w:val="99"/>
    <w:rsid w:val="00730063"/>
    <w:pPr>
      <w:shd w:val="clear" w:color="auto" w:fill="FFFFFF"/>
      <w:spacing w:line="240" w:lineRule="atLeast"/>
    </w:pPr>
    <w:rPr>
      <w:rFonts w:ascii="Garamond" w:hAnsi="Garamond" w:cs="Garamond"/>
      <w:i/>
      <w:iCs/>
      <w:spacing w:val="-2"/>
      <w:sz w:val="17"/>
      <w:szCs w:val="17"/>
    </w:rPr>
  </w:style>
  <w:style w:type="paragraph" w:customStyle="1" w:styleId="Heading20">
    <w:name w:val="Heading #2"/>
    <w:basedOn w:val="Normal"/>
    <w:link w:val="Heading2"/>
    <w:uiPriority w:val="99"/>
    <w:rsid w:val="00730063"/>
    <w:pPr>
      <w:shd w:val="clear" w:color="auto" w:fill="FFFFFF"/>
      <w:spacing w:before="420" w:after="720" w:line="240" w:lineRule="atLeast"/>
      <w:ind w:hanging="360"/>
      <w:jc w:val="both"/>
      <w:outlineLvl w:val="1"/>
    </w:pPr>
    <w:rPr>
      <w:rFonts w:ascii="Garamond" w:hAnsi="Garamond" w:cs="Garamond"/>
      <w:b/>
      <w:bCs/>
      <w:spacing w:val="5"/>
    </w:rPr>
  </w:style>
  <w:style w:type="paragraph" w:customStyle="1" w:styleId="Bodytext40">
    <w:name w:val="Body text (4)"/>
    <w:basedOn w:val="Normal"/>
    <w:link w:val="Bodytext4"/>
    <w:uiPriority w:val="99"/>
    <w:rsid w:val="00730063"/>
    <w:pPr>
      <w:shd w:val="clear" w:color="auto" w:fill="FFFFFF"/>
      <w:spacing w:before="420" w:after="720" w:line="240" w:lineRule="atLeast"/>
      <w:ind w:hanging="360"/>
      <w:jc w:val="both"/>
    </w:pPr>
    <w:rPr>
      <w:rFonts w:ascii="Garamond" w:hAnsi="Garamond" w:cs="Garamond"/>
      <w:i/>
      <w:iCs/>
      <w:spacing w:val="2"/>
      <w:sz w:val="25"/>
      <w:szCs w:val="25"/>
    </w:rPr>
  </w:style>
  <w:style w:type="paragraph" w:customStyle="1" w:styleId="Bodytext50">
    <w:name w:val="Body text (5)"/>
    <w:basedOn w:val="Normal"/>
    <w:link w:val="Bodytext5"/>
    <w:uiPriority w:val="99"/>
    <w:rsid w:val="00730063"/>
    <w:pPr>
      <w:shd w:val="clear" w:color="auto" w:fill="FFFFFF"/>
      <w:spacing w:line="269" w:lineRule="exact"/>
      <w:jc w:val="both"/>
    </w:pPr>
    <w:rPr>
      <w:rFonts w:ascii="Calibri" w:hAnsi="Calibri" w:cs="Calibri"/>
      <w:b/>
      <w:bCs/>
      <w:spacing w:val="2"/>
      <w:sz w:val="19"/>
      <w:szCs w:val="19"/>
    </w:rPr>
  </w:style>
  <w:style w:type="paragraph" w:styleId="FootnoteText">
    <w:name w:val="footnote text"/>
    <w:basedOn w:val="Normal"/>
    <w:link w:val="FootnoteTextChar"/>
    <w:uiPriority w:val="99"/>
    <w:semiHidden/>
    <w:rsid w:val="009A0DF7"/>
    <w:rPr>
      <w:sz w:val="20"/>
      <w:szCs w:val="20"/>
    </w:rPr>
  </w:style>
  <w:style w:type="character" w:customStyle="1" w:styleId="FootnoteTextChar">
    <w:name w:val="Footnote Text Char"/>
    <w:basedOn w:val="DefaultParagraphFont"/>
    <w:link w:val="FootnoteText"/>
    <w:uiPriority w:val="99"/>
    <w:semiHidden/>
    <w:locked/>
    <w:rsid w:val="009A0DF7"/>
    <w:rPr>
      <w:rFonts w:cs="Times New Roman"/>
      <w:color w:val="000000"/>
      <w:sz w:val="20"/>
      <w:szCs w:val="20"/>
    </w:rPr>
  </w:style>
  <w:style w:type="character" w:styleId="FootnoteReference">
    <w:name w:val="footnote reference"/>
    <w:basedOn w:val="DefaultParagraphFont"/>
    <w:uiPriority w:val="99"/>
    <w:semiHidden/>
    <w:rsid w:val="009A0DF7"/>
    <w:rPr>
      <w:rFonts w:cs="Times New Roman"/>
      <w:vertAlign w:val="superscript"/>
    </w:rPr>
  </w:style>
  <w:style w:type="character" w:styleId="FollowedHyperlink">
    <w:name w:val="FollowedHyperlink"/>
    <w:basedOn w:val="DefaultParagraphFont"/>
    <w:uiPriority w:val="99"/>
    <w:semiHidden/>
    <w:rsid w:val="00634E43"/>
    <w:rPr>
      <w:rFonts w:cs="Times New Roman"/>
      <w:color w:val="800080"/>
      <w:u w:val="single"/>
    </w:rPr>
  </w:style>
  <w:style w:type="paragraph" w:styleId="Header">
    <w:name w:val="header"/>
    <w:basedOn w:val="Normal"/>
    <w:link w:val="HeaderChar"/>
    <w:uiPriority w:val="99"/>
    <w:rsid w:val="00447E0B"/>
    <w:pPr>
      <w:tabs>
        <w:tab w:val="center" w:pos="4703"/>
        <w:tab w:val="right" w:pos="9406"/>
      </w:tabs>
    </w:pPr>
  </w:style>
  <w:style w:type="character" w:customStyle="1" w:styleId="HeaderChar">
    <w:name w:val="Header Char"/>
    <w:basedOn w:val="DefaultParagraphFont"/>
    <w:link w:val="Header"/>
    <w:uiPriority w:val="99"/>
    <w:locked/>
    <w:rsid w:val="00447E0B"/>
    <w:rPr>
      <w:rFonts w:cs="Times New Roman"/>
      <w:color w:val="000000"/>
    </w:rPr>
  </w:style>
  <w:style w:type="paragraph" w:styleId="Footer">
    <w:name w:val="footer"/>
    <w:basedOn w:val="Normal"/>
    <w:link w:val="FooterChar"/>
    <w:uiPriority w:val="99"/>
    <w:rsid w:val="00447E0B"/>
    <w:pPr>
      <w:tabs>
        <w:tab w:val="center" w:pos="4703"/>
        <w:tab w:val="right" w:pos="9406"/>
      </w:tabs>
    </w:pPr>
  </w:style>
  <w:style w:type="character" w:customStyle="1" w:styleId="FooterChar">
    <w:name w:val="Footer Char"/>
    <w:basedOn w:val="DefaultParagraphFont"/>
    <w:link w:val="Footer"/>
    <w:uiPriority w:val="99"/>
    <w:locked/>
    <w:rsid w:val="00447E0B"/>
    <w:rPr>
      <w:rFonts w:cs="Times New Roman"/>
      <w:color w:val="000000"/>
    </w:rPr>
  </w:style>
  <w:style w:type="character" w:customStyle="1" w:styleId="apple-converted-space">
    <w:name w:val="apple-converted-space"/>
    <w:basedOn w:val="DefaultParagraphFont"/>
    <w:uiPriority w:val="99"/>
    <w:rsid w:val="00F80411"/>
    <w:rPr>
      <w:rFonts w:cs="Times New Roman"/>
    </w:rPr>
  </w:style>
  <w:style w:type="paragraph" w:styleId="BalloonText">
    <w:name w:val="Balloon Text"/>
    <w:basedOn w:val="Normal"/>
    <w:link w:val="BalloonTextChar"/>
    <w:uiPriority w:val="99"/>
    <w:semiHidden/>
    <w:rsid w:val="00F124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2436"/>
    <w:rPr>
      <w:rFonts w:ascii="Segoe UI" w:hAnsi="Segoe UI" w:cs="Segoe UI"/>
      <w:color w:val="000000"/>
      <w:sz w:val="18"/>
      <w:szCs w:val="18"/>
    </w:rPr>
  </w:style>
  <w:style w:type="character" w:styleId="Emphasis">
    <w:name w:val="Emphasis"/>
    <w:basedOn w:val="DefaultParagraphFont"/>
    <w:uiPriority w:val="99"/>
    <w:qFormat/>
    <w:locked/>
    <w:rsid w:val="006C7C0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63"/>
    <w:pPr>
      <w:widowControl w:val="0"/>
    </w:pPr>
    <w:rPr>
      <w:color w:val="000000"/>
      <w:sz w:val="24"/>
      <w:szCs w:val="24"/>
      <w:lang w:val="en-GB" w:eastAsia="en-GB" w:bidi="my-M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0063"/>
    <w:rPr>
      <w:rFonts w:cs="Times New Roman"/>
      <w:color w:val="0066CC"/>
      <w:u w:val="single"/>
    </w:rPr>
  </w:style>
  <w:style w:type="character" w:customStyle="1" w:styleId="Picturecaption">
    <w:name w:val="Picture caption_"/>
    <w:basedOn w:val="DefaultParagraphFont"/>
    <w:link w:val="Picturecaption0"/>
    <w:uiPriority w:val="99"/>
    <w:locked/>
    <w:rsid w:val="00730063"/>
    <w:rPr>
      <w:rFonts w:ascii="Garamond" w:eastAsia="Times New Roman" w:hAnsi="Garamond" w:cs="Garamond"/>
      <w:b/>
      <w:bCs/>
      <w:spacing w:val="10"/>
      <w:sz w:val="20"/>
      <w:szCs w:val="20"/>
      <w:u w:val="none"/>
    </w:rPr>
  </w:style>
  <w:style w:type="character" w:customStyle="1" w:styleId="PicturecaptionSmallCaps">
    <w:name w:val="Picture caption + Small Caps"/>
    <w:basedOn w:val="Picturecaption"/>
    <w:uiPriority w:val="99"/>
    <w:rsid w:val="00730063"/>
    <w:rPr>
      <w:rFonts w:ascii="Garamond" w:eastAsia="Times New Roman" w:hAnsi="Garamond" w:cs="Garamond"/>
      <w:b/>
      <w:bCs/>
      <w:smallCaps/>
      <w:color w:val="000000"/>
      <w:spacing w:val="10"/>
      <w:w w:val="100"/>
      <w:position w:val="0"/>
      <w:sz w:val="20"/>
      <w:szCs w:val="20"/>
      <w:u w:val="none"/>
      <w:lang w:val="en-GB"/>
    </w:rPr>
  </w:style>
  <w:style w:type="character" w:customStyle="1" w:styleId="Bodytext2">
    <w:name w:val="Body text (2)_"/>
    <w:basedOn w:val="DefaultParagraphFont"/>
    <w:link w:val="Bodytext20"/>
    <w:uiPriority w:val="99"/>
    <w:locked/>
    <w:rsid w:val="00730063"/>
    <w:rPr>
      <w:rFonts w:ascii="Garamond" w:eastAsia="Times New Roman" w:hAnsi="Garamond" w:cs="Garamond"/>
      <w:b/>
      <w:bCs/>
      <w:spacing w:val="5"/>
      <w:sz w:val="22"/>
      <w:szCs w:val="22"/>
      <w:u w:val="none"/>
    </w:rPr>
  </w:style>
  <w:style w:type="character" w:customStyle="1" w:styleId="Bodytext2SmallCaps">
    <w:name w:val="Body text (2) + Small Caps"/>
    <w:basedOn w:val="Bodytext2"/>
    <w:uiPriority w:val="99"/>
    <w:rsid w:val="00730063"/>
    <w:rPr>
      <w:rFonts w:ascii="Garamond" w:eastAsia="Times New Roman" w:hAnsi="Garamond" w:cs="Garamond"/>
      <w:b/>
      <w:bCs/>
      <w:smallCaps/>
      <w:color w:val="000000"/>
      <w:spacing w:val="5"/>
      <w:w w:val="100"/>
      <w:position w:val="0"/>
      <w:sz w:val="22"/>
      <w:szCs w:val="22"/>
      <w:u w:val="none"/>
      <w:lang w:val="en-GB"/>
    </w:rPr>
  </w:style>
  <w:style w:type="character" w:customStyle="1" w:styleId="Bodytext212pt">
    <w:name w:val="Body text (2) + 12 pt"/>
    <w:basedOn w:val="Bodytext2"/>
    <w:uiPriority w:val="99"/>
    <w:rsid w:val="00730063"/>
    <w:rPr>
      <w:rFonts w:ascii="Garamond" w:eastAsia="Times New Roman" w:hAnsi="Garamond" w:cs="Garamond"/>
      <w:b/>
      <w:bCs/>
      <w:color w:val="000000"/>
      <w:spacing w:val="5"/>
      <w:w w:val="100"/>
      <w:position w:val="0"/>
      <w:sz w:val="24"/>
      <w:szCs w:val="24"/>
      <w:u w:val="none"/>
      <w:lang w:val="en-GB"/>
    </w:rPr>
  </w:style>
  <w:style w:type="character" w:customStyle="1" w:styleId="Heading1">
    <w:name w:val="Heading #1_"/>
    <w:basedOn w:val="DefaultParagraphFont"/>
    <w:link w:val="Heading10"/>
    <w:uiPriority w:val="99"/>
    <w:locked/>
    <w:rsid w:val="00730063"/>
    <w:rPr>
      <w:rFonts w:ascii="Garamond" w:eastAsia="Times New Roman" w:hAnsi="Garamond" w:cs="Garamond"/>
      <w:b/>
      <w:bCs/>
      <w:spacing w:val="5"/>
      <w:u w:val="none"/>
    </w:rPr>
  </w:style>
  <w:style w:type="character" w:customStyle="1" w:styleId="Bodytext">
    <w:name w:val="Body text_"/>
    <w:basedOn w:val="DefaultParagraphFont"/>
    <w:link w:val="BodyText21"/>
    <w:uiPriority w:val="99"/>
    <w:locked/>
    <w:rsid w:val="00730063"/>
    <w:rPr>
      <w:rFonts w:ascii="Garamond" w:eastAsia="Times New Roman" w:hAnsi="Garamond" w:cs="Garamond"/>
      <w:spacing w:val="2"/>
      <w:sz w:val="25"/>
      <w:szCs w:val="25"/>
      <w:u w:val="none"/>
    </w:rPr>
  </w:style>
  <w:style w:type="character" w:customStyle="1" w:styleId="Headerorfooter">
    <w:name w:val="Header or footer_"/>
    <w:basedOn w:val="DefaultParagraphFont"/>
    <w:link w:val="Headerorfooter0"/>
    <w:uiPriority w:val="99"/>
    <w:locked/>
    <w:rsid w:val="00730063"/>
    <w:rPr>
      <w:rFonts w:ascii="Garamond" w:eastAsia="Times New Roman" w:hAnsi="Garamond" w:cs="Garamond"/>
      <w:spacing w:val="14"/>
      <w:sz w:val="21"/>
      <w:szCs w:val="21"/>
      <w:u w:val="none"/>
    </w:rPr>
  </w:style>
  <w:style w:type="character" w:customStyle="1" w:styleId="Footnote">
    <w:name w:val="Footnote_"/>
    <w:basedOn w:val="DefaultParagraphFont"/>
    <w:link w:val="Footnote1"/>
    <w:uiPriority w:val="99"/>
    <w:locked/>
    <w:rsid w:val="00730063"/>
    <w:rPr>
      <w:rFonts w:ascii="Garamond" w:eastAsia="Times New Roman" w:hAnsi="Garamond" w:cs="Garamond"/>
      <w:spacing w:val="2"/>
      <w:sz w:val="17"/>
      <w:szCs w:val="17"/>
      <w:u w:val="none"/>
    </w:rPr>
  </w:style>
  <w:style w:type="character" w:customStyle="1" w:styleId="FootnoteItalic">
    <w:name w:val="Footnote + Italic"/>
    <w:aliases w:val="Spacing 0 pt"/>
    <w:basedOn w:val="Footnote"/>
    <w:uiPriority w:val="99"/>
    <w:rsid w:val="00730063"/>
    <w:rPr>
      <w:rFonts w:ascii="Garamond" w:eastAsia="Times New Roman" w:hAnsi="Garamond" w:cs="Garamond"/>
      <w:i/>
      <w:iCs/>
      <w:color w:val="000000"/>
      <w:spacing w:val="-2"/>
      <w:w w:val="100"/>
      <w:position w:val="0"/>
      <w:sz w:val="17"/>
      <w:szCs w:val="17"/>
      <w:u w:val="none"/>
      <w:lang w:val="en-GB"/>
    </w:rPr>
  </w:style>
  <w:style w:type="character" w:customStyle="1" w:styleId="Bodytext3">
    <w:name w:val="Body text (3)_"/>
    <w:basedOn w:val="DefaultParagraphFont"/>
    <w:link w:val="Bodytext30"/>
    <w:uiPriority w:val="99"/>
    <w:locked/>
    <w:rsid w:val="00730063"/>
    <w:rPr>
      <w:rFonts w:ascii="Garamond" w:eastAsia="Times New Roman" w:hAnsi="Garamond" w:cs="Garamond"/>
      <w:b/>
      <w:bCs/>
      <w:spacing w:val="5"/>
      <w:u w:val="none"/>
    </w:rPr>
  </w:style>
  <w:style w:type="character" w:customStyle="1" w:styleId="Footnote2">
    <w:name w:val="Footnote (2)_"/>
    <w:basedOn w:val="DefaultParagraphFont"/>
    <w:link w:val="Footnote20"/>
    <w:uiPriority w:val="99"/>
    <w:locked/>
    <w:rsid w:val="00730063"/>
    <w:rPr>
      <w:rFonts w:ascii="Garamond" w:eastAsia="Times New Roman" w:hAnsi="Garamond" w:cs="Garamond"/>
      <w:i/>
      <w:iCs/>
      <w:spacing w:val="-2"/>
      <w:sz w:val="17"/>
      <w:szCs w:val="17"/>
      <w:u w:val="none"/>
    </w:rPr>
  </w:style>
  <w:style w:type="character" w:customStyle="1" w:styleId="Footnote2NotItalic">
    <w:name w:val="Footnote (2) + Not Italic"/>
    <w:aliases w:val="Spacing 0 pt1"/>
    <w:basedOn w:val="Footnote2"/>
    <w:uiPriority w:val="99"/>
    <w:rsid w:val="00730063"/>
    <w:rPr>
      <w:rFonts w:ascii="Garamond" w:eastAsia="Times New Roman" w:hAnsi="Garamond" w:cs="Garamond"/>
      <w:i/>
      <w:iCs/>
      <w:color w:val="000000"/>
      <w:spacing w:val="2"/>
      <w:w w:val="100"/>
      <w:position w:val="0"/>
      <w:sz w:val="17"/>
      <w:szCs w:val="17"/>
      <w:u w:val="none"/>
      <w:lang w:val="en-GB"/>
    </w:rPr>
  </w:style>
  <w:style w:type="character" w:customStyle="1" w:styleId="Heading2">
    <w:name w:val="Heading #2_"/>
    <w:basedOn w:val="DefaultParagraphFont"/>
    <w:link w:val="Heading20"/>
    <w:uiPriority w:val="99"/>
    <w:locked/>
    <w:rsid w:val="00730063"/>
    <w:rPr>
      <w:rFonts w:ascii="Garamond" w:eastAsia="Times New Roman" w:hAnsi="Garamond" w:cs="Garamond"/>
      <w:b/>
      <w:bCs/>
      <w:spacing w:val="5"/>
      <w:u w:val="none"/>
    </w:rPr>
  </w:style>
  <w:style w:type="character" w:customStyle="1" w:styleId="Bodytext4">
    <w:name w:val="Body text (4)_"/>
    <w:basedOn w:val="DefaultParagraphFont"/>
    <w:link w:val="Bodytext40"/>
    <w:uiPriority w:val="99"/>
    <w:locked/>
    <w:rsid w:val="00730063"/>
    <w:rPr>
      <w:rFonts w:ascii="Garamond" w:eastAsia="Times New Roman" w:hAnsi="Garamond" w:cs="Garamond"/>
      <w:i/>
      <w:iCs/>
      <w:spacing w:val="2"/>
      <w:sz w:val="25"/>
      <w:szCs w:val="25"/>
      <w:u w:val="none"/>
    </w:rPr>
  </w:style>
  <w:style w:type="character" w:customStyle="1" w:styleId="Footnote0">
    <w:name w:val="Footnote"/>
    <w:basedOn w:val="Footnote"/>
    <w:uiPriority w:val="99"/>
    <w:rsid w:val="00730063"/>
    <w:rPr>
      <w:rFonts w:ascii="Garamond" w:eastAsia="Times New Roman" w:hAnsi="Garamond" w:cs="Garamond"/>
      <w:color w:val="000000"/>
      <w:spacing w:val="2"/>
      <w:w w:val="100"/>
      <w:position w:val="0"/>
      <w:sz w:val="17"/>
      <w:szCs w:val="17"/>
      <w:u w:val="single"/>
      <w:lang w:val="en-GB"/>
    </w:rPr>
  </w:style>
  <w:style w:type="character" w:customStyle="1" w:styleId="Footnote21">
    <w:name w:val="Footnote2"/>
    <w:basedOn w:val="Footnote"/>
    <w:uiPriority w:val="99"/>
    <w:rsid w:val="00730063"/>
    <w:rPr>
      <w:rFonts w:ascii="Garamond" w:eastAsia="Times New Roman" w:hAnsi="Garamond" w:cs="Garamond"/>
      <w:color w:val="000000"/>
      <w:spacing w:val="2"/>
      <w:w w:val="100"/>
      <w:position w:val="0"/>
      <w:sz w:val="17"/>
      <w:szCs w:val="17"/>
      <w:u w:val="none"/>
    </w:rPr>
  </w:style>
  <w:style w:type="character" w:customStyle="1" w:styleId="BodyText1">
    <w:name w:val="Body Text1"/>
    <w:basedOn w:val="Bodytext"/>
    <w:uiPriority w:val="99"/>
    <w:rsid w:val="00730063"/>
    <w:rPr>
      <w:rFonts w:ascii="Garamond" w:eastAsia="Times New Roman" w:hAnsi="Garamond" w:cs="Garamond"/>
      <w:color w:val="000000"/>
      <w:spacing w:val="2"/>
      <w:w w:val="100"/>
      <w:position w:val="0"/>
      <w:sz w:val="25"/>
      <w:szCs w:val="25"/>
      <w:u w:val="none"/>
      <w:lang w:val="en-GB"/>
    </w:rPr>
  </w:style>
  <w:style w:type="character" w:customStyle="1" w:styleId="Bodytext5">
    <w:name w:val="Body text (5)_"/>
    <w:basedOn w:val="DefaultParagraphFont"/>
    <w:link w:val="Bodytext50"/>
    <w:uiPriority w:val="99"/>
    <w:locked/>
    <w:rsid w:val="00730063"/>
    <w:rPr>
      <w:rFonts w:ascii="Calibri" w:eastAsia="Times New Roman" w:hAnsi="Calibri" w:cs="Calibri"/>
      <w:b/>
      <w:bCs/>
      <w:spacing w:val="2"/>
      <w:sz w:val="19"/>
      <w:szCs w:val="19"/>
      <w:u w:val="none"/>
    </w:rPr>
  </w:style>
  <w:style w:type="paragraph" w:customStyle="1" w:styleId="Picturecaption0">
    <w:name w:val="Picture caption"/>
    <w:basedOn w:val="Normal"/>
    <w:link w:val="Picturecaption"/>
    <w:uiPriority w:val="99"/>
    <w:rsid w:val="00730063"/>
    <w:pPr>
      <w:shd w:val="clear" w:color="auto" w:fill="FFFFFF"/>
      <w:spacing w:line="299" w:lineRule="exact"/>
      <w:jc w:val="center"/>
    </w:pPr>
    <w:rPr>
      <w:rFonts w:ascii="Garamond" w:hAnsi="Garamond" w:cs="Garamond"/>
      <w:b/>
      <w:bCs/>
      <w:spacing w:val="10"/>
      <w:sz w:val="20"/>
      <w:szCs w:val="20"/>
    </w:rPr>
  </w:style>
  <w:style w:type="paragraph" w:customStyle="1" w:styleId="Bodytext20">
    <w:name w:val="Body text (2)"/>
    <w:basedOn w:val="Normal"/>
    <w:link w:val="Bodytext2"/>
    <w:uiPriority w:val="99"/>
    <w:rsid w:val="00730063"/>
    <w:pPr>
      <w:shd w:val="clear" w:color="auto" w:fill="FFFFFF"/>
      <w:spacing w:before="480" w:after="240" w:line="314" w:lineRule="exact"/>
      <w:jc w:val="center"/>
    </w:pPr>
    <w:rPr>
      <w:rFonts w:ascii="Garamond" w:hAnsi="Garamond" w:cs="Garamond"/>
      <w:b/>
      <w:bCs/>
      <w:spacing w:val="5"/>
      <w:sz w:val="22"/>
      <w:szCs w:val="22"/>
    </w:rPr>
  </w:style>
  <w:style w:type="paragraph" w:customStyle="1" w:styleId="Heading10">
    <w:name w:val="Heading #1"/>
    <w:basedOn w:val="Normal"/>
    <w:link w:val="Heading1"/>
    <w:uiPriority w:val="99"/>
    <w:rsid w:val="00730063"/>
    <w:pPr>
      <w:shd w:val="clear" w:color="auto" w:fill="FFFFFF"/>
      <w:spacing w:before="540" w:after="720" w:line="240" w:lineRule="atLeast"/>
      <w:ind w:hanging="360"/>
      <w:jc w:val="both"/>
      <w:outlineLvl w:val="0"/>
    </w:pPr>
    <w:rPr>
      <w:rFonts w:ascii="Garamond" w:hAnsi="Garamond" w:cs="Garamond"/>
      <w:b/>
      <w:bCs/>
      <w:spacing w:val="5"/>
    </w:rPr>
  </w:style>
  <w:style w:type="paragraph" w:customStyle="1" w:styleId="BodyText21">
    <w:name w:val="Body Text2"/>
    <w:basedOn w:val="Normal"/>
    <w:link w:val="Bodytext"/>
    <w:uiPriority w:val="99"/>
    <w:rsid w:val="00730063"/>
    <w:pPr>
      <w:shd w:val="clear" w:color="auto" w:fill="FFFFFF"/>
      <w:spacing w:before="720" w:after="480" w:line="470" w:lineRule="exact"/>
      <w:ind w:hanging="700"/>
      <w:jc w:val="both"/>
    </w:pPr>
    <w:rPr>
      <w:rFonts w:ascii="Garamond" w:hAnsi="Garamond" w:cs="Garamond"/>
      <w:spacing w:val="2"/>
      <w:sz w:val="25"/>
      <w:szCs w:val="25"/>
    </w:rPr>
  </w:style>
  <w:style w:type="paragraph" w:customStyle="1" w:styleId="Headerorfooter0">
    <w:name w:val="Header or footer"/>
    <w:basedOn w:val="Normal"/>
    <w:link w:val="Headerorfooter"/>
    <w:uiPriority w:val="99"/>
    <w:rsid w:val="00730063"/>
    <w:pPr>
      <w:shd w:val="clear" w:color="auto" w:fill="FFFFFF"/>
      <w:spacing w:line="240" w:lineRule="atLeast"/>
    </w:pPr>
    <w:rPr>
      <w:rFonts w:ascii="Garamond" w:hAnsi="Garamond" w:cs="Garamond"/>
      <w:spacing w:val="14"/>
      <w:sz w:val="21"/>
      <w:szCs w:val="21"/>
    </w:rPr>
  </w:style>
  <w:style w:type="paragraph" w:customStyle="1" w:styleId="Footnote1">
    <w:name w:val="Footnote1"/>
    <w:basedOn w:val="Normal"/>
    <w:link w:val="Footnote"/>
    <w:uiPriority w:val="99"/>
    <w:rsid w:val="00730063"/>
    <w:pPr>
      <w:shd w:val="clear" w:color="auto" w:fill="FFFFFF"/>
      <w:spacing w:line="240" w:lineRule="atLeast"/>
    </w:pPr>
    <w:rPr>
      <w:rFonts w:ascii="Garamond" w:hAnsi="Garamond" w:cs="Garamond"/>
      <w:spacing w:val="2"/>
      <w:sz w:val="17"/>
      <w:szCs w:val="17"/>
    </w:rPr>
  </w:style>
  <w:style w:type="paragraph" w:customStyle="1" w:styleId="Bodytext30">
    <w:name w:val="Body text (3)"/>
    <w:basedOn w:val="Normal"/>
    <w:link w:val="Bodytext3"/>
    <w:uiPriority w:val="99"/>
    <w:rsid w:val="00730063"/>
    <w:pPr>
      <w:shd w:val="clear" w:color="auto" w:fill="FFFFFF"/>
      <w:spacing w:after="720" w:line="240" w:lineRule="atLeast"/>
      <w:ind w:hanging="380"/>
      <w:jc w:val="both"/>
    </w:pPr>
    <w:rPr>
      <w:rFonts w:ascii="Garamond" w:hAnsi="Garamond" w:cs="Garamond"/>
      <w:b/>
      <w:bCs/>
      <w:spacing w:val="5"/>
    </w:rPr>
  </w:style>
  <w:style w:type="paragraph" w:customStyle="1" w:styleId="Footnote20">
    <w:name w:val="Footnote (2)"/>
    <w:basedOn w:val="Normal"/>
    <w:link w:val="Footnote2"/>
    <w:uiPriority w:val="99"/>
    <w:rsid w:val="00730063"/>
    <w:pPr>
      <w:shd w:val="clear" w:color="auto" w:fill="FFFFFF"/>
      <w:spacing w:line="240" w:lineRule="atLeast"/>
    </w:pPr>
    <w:rPr>
      <w:rFonts w:ascii="Garamond" w:hAnsi="Garamond" w:cs="Garamond"/>
      <w:i/>
      <w:iCs/>
      <w:spacing w:val="-2"/>
      <w:sz w:val="17"/>
      <w:szCs w:val="17"/>
    </w:rPr>
  </w:style>
  <w:style w:type="paragraph" w:customStyle="1" w:styleId="Heading20">
    <w:name w:val="Heading #2"/>
    <w:basedOn w:val="Normal"/>
    <w:link w:val="Heading2"/>
    <w:uiPriority w:val="99"/>
    <w:rsid w:val="00730063"/>
    <w:pPr>
      <w:shd w:val="clear" w:color="auto" w:fill="FFFFFF"/>
      <w:spacing w:before="420" w:after="720" w:line="240" w:lineRule="atLeast"/>
      <w:ind w:hanging="360"/>
      <w:jc w:val="both"/>
      <w:outlineLvl w:val="1"/>
    </w:pPr>
    <w:rPr>
      <w:rFonts w:ascii="Garamond" w:hAnsi="Garamond" w:cs="Garamond"/>
      <w:b/>
      <w:bCs/>
      <w:spacing w:val="5"/>
    </w:rPr>
  </w:style>
  <w:style w:type="paragraph" w:customStyle="1" w:styleId="Bodytext40">
    <w:name w:val="Body text (4)"/>
    <w:basedOn w:val="Normal"/>
    <w:link w:val="Bodytext4"/>
    <w:uiPriority w:val="99"/>
    <w:rsid w:val="00730063"/>
    <w:pPr>
      <w:shd w:val="clear" w:color="auto" w:fill="FFFFFF"/>
      <w:spacing w:before="420" w:after="720" w:line="240" w:lineRule="atLeast"/>
      <w:ind w:hanging="360"/>
      <w:jc w:val="both"/>
    </w:pPr>
    <w:rPr>
      <w:rFonts w:ascii="Garamond" w:hAnsi="Garamond" w:cs="Garamond"/>
      <w:i/>
      <w:iCs/>
      <w:spacing w:val="2"/>
      <w:sz w:val="25"/>
      <w:szCs w:val="25"/>
    </w:rPr>
  </w:style>
  <w:style w:type="paragraph" w:customStyle="1" w:styleId="Bodytext50">
    <w:name w:val="Body text (5)"/>
    <w:basedOn w:val="Normal"/>
    <w:link w:val="Bodytext5"/>
    <w:uiPriority w:val="99"/>
    <w:rsid w:val="00730063"/>
    <w:pPr>
      <w:shd w:val="clear" w:color="auto" w:fill="FFFFFF"/>
      <w:spacing w:line="269" w:lineRule="exact"/>
      <w:jc w:val="both"/>
    </w:pPr>
    <w:rPr>
      <w:rFonts w:ascii="Calibri" w:hAnsi="Calibri" w:cs="Calibri"/>
      <w:b/>
      <w:bCs/>
      <w:spacing w:val="2"/>
      <w:sz w:val="19"/>
      <w:szCs w:val="19"/>
    </w:rPr>
  </w:style>
  <w:style w:type="paragraph" w:styleId="FootnoteText">
    <w:name w:val="footnote text"/>
    <w:basedOn w:val="Normal"/>
    <w:link w:val="FootnoteTextChar"/>
    <w:uiPriority w:val="99"/>
    <w:semiHidden/>
    <w:rsid w:val="009A0DF7"/>
    <w:rPr>
      <w:sz w:val="20"/>
      <w:szCs w:val="20"/>
    </w:rPr>
  </w:style>
  <w:style w:type="character" w:customStyle="1" w:styleId="FootnoteTextChar">
    <w:name w:val="Footnote Text Char"/>
    <w:basedOn w:val="DefaultParagraphFont"/>
    <w:link w:val="FootnoteText"/>
    <w:uiPriority w:val="99"/>
    <w:semiHidden/>
    <w:locked/>
    <w:rsid w:val="009A0DF7"/>
    <w:rPr>
      <w:rFonts w:cs="Times New Roman"/>
      <w:color w:val="000000"/>
      <w:sz w:val="20"/>
      <w:szCs w:val="20"/>
    </w:rPr>
  </w:style>
  <w:style w:type="character" w:styleId="FootnoteReference">
    <w:name w:val="footnote reference"/>
    <w:basedOn w:val="DefaultParagraphFont"/>
    <w:uiPriority w:val="99"/>
    <w:semiHidden/>
    <w:rsid w:val="009A0DF7"/>
    <w:rPr>
      <w:rFonts w:cs="Times New Roman"/>
      <w:vertAlign w:val="superscript"/>
    </w:rPr>
  </w:style>
  <w:style w:type="character" w:styleId="FollowedHyperlink">
    <w:name w:val="FollowedHyperlink"/>
    <w:basedOn w:val="DefaultParagraphFont"/>
    <w:uiPriority w:val="99"/>
    <w:semiHidden/>
    <w:rsid w:val="00634E43"/>
    <w:rPr>
      <w:rFonts w:cs="Times New Roman"/>
      <w:color w:val="800080"/>
      <w:u w:val="single"/>
    </w:rPr>
  </w:style>
  <w:style w:type="paragraph" w:styleId="Header">
    <w:name w:val="header"/>
    <w:basedOn w:val="Normal"/>
    <w:link w:val="HeaderChar"/>
    <w:uiPriority w:val="99"/>
    <w:rsid w:val="00447E0B"/>
    <w:pPr>
      <w:tabs>
        <w:tab w:val="center" w:pos="4703"/>
        <w:tab w:val="right" w:pos="9406"/>
      </w:tabs>
    </w:pPr>
  </w:style>
  <w:style w:type="character" w:customStyle="1" w:styleId="HeaderChar">
    <w:name w:val="Header Char"/>
    <w:basedOn w:val="DefaultParagraphFont"/>
    <w:link w:val="Header"/>
    <w:uiPriority w:val="99"/>
    <w:locked/>
    <w:rsid w:val="00447E0B"/>
    <w:rPr>
      <w:rFonts w:cs="Times New Roman"/>
      <w:color w:val="000000"/>
    </w:rPr>
  </w:style>
  <w:style w:type="paragraph" w:styleId="Footer">
    <w:name w:val="footer"/>
    <w:basedOn w:val="Normal"/>
    <w:link w:val="FooterChar"/>
    <w:uiPriority w:val="99"/>
    <w:rsid w:val="00447E0B"/>
    <w:pPr>
      <w:tabs>
        <w:tab w:val="center" w:pos="4703"/>
        <w:tab w:val="right" w:pos="9406"/>
      </w:tabs>
    </w:pPr>
  </w:style>
  <w:style w:type="character" w:customStyle="1" w:styleId="FooterChar">
    <w:name w:val="Footer Char"/>
    <w:basedOn w:val="DefaultParagraphFont"/>
    <w:link w:val="Footer"/>
    <w:uiPriority w:val="99"/>
    <w:locked/>
    <w:rsid w:val="00447E0B"/>
    <w:rPr>
      <w:rFonts w:cs="Times New Roman"/>
      <w:color w:val="000000"/>
    </w:rPr>
  </w:style>
  <w:style w:type="character" w:customStyle="1" w:styleId="apple-converted-space">
    <w:name w:val="apple-converted-space"/>
    <w:basedOn w:val="DefaultParagraphFont"/>
    <w:uiPriority w:val="99"/>
    <w:rsid w:val="00F80411"/>
    <w:rPr>
      <w:rFonts w:cs="Times New Roman"/>
    </w:rPr>
  </w:style>
  <w:style w:type="paragraph" w:styleId="BalloonText">
    <w:name w:val="Balloon Text"/>
    <w:basedOn w:val="Normal"/>
    <w:link w:val="BalloonTextChar"/>
    <w:uiPriority w:val="99"/>
    <w:semiHidden/>
    <w:rsid w:val="00F124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2436"/>
    <w:rPr>
      <w:rFonts w:ascii="Segoe UI" w:hAnsi="Segoe UI" w:cs="Segoe UI"/>
      <w:color w:val="000000"/>
      <w:sz w:val="18"/>
      <w:szCs w:val="18"/>
    </w:rPr>
  </w:style>
  <w:style w:type="character" w:styleId="Emphasis">
    <w:name w:val="Emphasis"/>
    <w:basedOn w:val="DefaultParagraphFont"/>
    <w:uiPriority w:val="99"/>
    <w:qFormat/>
    <w:locked/>
    <w:rsid w:val="006C7C0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diciary.gov.uk/wp-content/uploads%20/2015/01%20/review-of-efficiency-in-criminal-%20proceedings-20151.pdf" TargetMode="External"/><Relationship Id="rId2" Type="http://schemas.openxmlformats.org/officeDocument/2006/relationships/hyperlink" Target="https://www.judiciary.gov.uk/wp-content/uploads/JCO/Documents/Speeches/lcj-birkenhead-lecture-21102013.pdf" TargetMode="External"/><Relationship Id="rId1" Type="http://schemas.openxmlformats.org/officeDocument/2006/relationships/hyperlink" Target="https://www.judiciary.gov.uk/wp-content/uploads/2015/10/the-legacy-of-magna-carta-lcj.pdf" TargetMode="External"/><Relationship Id="rId4" Type="http://schemas.openxmlformats.org/officeDocument/2006/relationships/hyperlink" Target="http://www.gresham.ac.uk/sites/default/files/25jun15stephenrichards_civillitig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8883-66DE-42AC-BAAD-9844FD0B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Legacy of Magna Carta: Justice in the 21st Century</vt:lpstr>
    </vt:vector>
  </TitlesOfParts>
  <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Magna Carta: Justice in the 21st Century</dc:title>
  <dc:subject>Speeches</dc:subject>
  <dc:creator>Simeon Stoychev</dc:creator>
  <cp:keywords>Magna Cartal;Lord Chief Justice;25 September 2015;Legal Research Foundation</cp:keywords>
  <cp:lastModifiedBy>Ekaterina</cp:lastModifiedBy>
  <cp:revision>6</cp:revision>
  <cp:lastPrinted>2016-03-26T16:05:00Z</cp:lastPrinted>
  <dcterms:created xsi:type="dcterms:W3CDTF">2016-03-26T15:58:00Z</dcterms:created>
  <dcterms:modified xsi:type="dcterms:W3CDTF">2016-03-26T16:10:00Z</dcterms:modified>
</cp:coreProperties>
</file>